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93980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91440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86" w:lineRule="exact"/>
        <w:rPr>
          <w:sz w:val="24"/>
          <w:szCs w:val="24"/>
          <w:color w:val="auto"/>
        </w:rPr>
      </w:pPr>
    </w:p>
    <w:p>
      <w:pPr>
        <w:ind w:left="1880" w:hanging="285"/>
        <w:spacing w:after="0"/>
        <w:tabs>
          <w:tab w:leader="none" w:pos="1880" w:val="left"/>
        </w:tabs>
        <w:numPr>
          <w:ilvl w:val="0"/>
          <w:numId w:val="1"/>
        </w:numPr>
        <w:rPr>
          <w:rFonts w:ascii="MS PGothic" w:cs="MS PGothic" w:eastAsia="MS PGothic" w:hAnsi="MS PGothic"/>
          <w:sz w:val="19"/>
          <w:szCs w:val="19"/>
          <w:color w:val="auto"/>
        </w:rPr>
      </w:pPr>
      <w:r>
        <w:rPr>
          <w:rFonts w:ascii="Arial" w:cs="Arial" w:eastAsia="Arial" w:hAnsi="Arial"/>
          <w:sz w:val="21"/>
          <w:szCs w:val="21"/>
          <w:b w:val="1"/>
          <w:bCs w:val="1"/>
          <w:color w:val="auto"/>
        </w:rPr>
        <w:t>QUARTERLY REPORT PURSUANT TO SECTION 13 OR 15(d) OF</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880" w:hanging="292"/>
        <w:spacing w:after="0"/>
        <w:tabs>
          <w:tab w:leader="none" w:pos="1880" w:val="left"/>
        </w:tabs>
        <w:numPr>
          <w:ilvl w:val="0"/>
          <w:numId w:val="2"/>
        </w:numPr>
        <w:rPr>
          <w:rFonts w:ascii="MS PGothic" w:cs="MS PGothic" w:eastAsia="MS PGothic" w:hAnsi="MS PGothic"/>
          <w:sz w:val="19"/>
          <w:szCs w:val="19"/>
          <w:color w:val="auto"/>
        </w:rPr>
      </w:pPr>
      <w:r>
        <w:rPr>
          <w:rFonts w:ascii="Arial" w:cs="Arial" w:eastAsia="Arial" w:hAnsi="Arial"/>
          <w:sz w:val="21"/>
          <w:szCs w:val="21"/>
          <w:b w:val="1"/>
          <w:bCs w:val="1"/>
          <w:color w:val="auto"/>
        </w:rPr>
        <w:t>TRANSITION REPORT PURSUANT TO SECTION 13 OR 15(d) OF</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3"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1-5467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VALHI, INC.</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85725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p>
      <w:pPr>
        <w:spacing w:after="0" w:line="347"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87-0110150</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Identification No.)</w:t>
      </w:r>
    </w:p>
    <w:p>
      <w:pPr>
        <w:spacing w:after="0" w:line="108" w:lineRule="exact"/>
        <w:rPr>
          <w:sz w:val="24"/>
          <w:szCs w:val="24"/>
          <w:color w:val="auto"/>
        </w:rPr>
      </w:pPr>
    </w:p>
    <w:p>
      <w:pPr>
        <w:sectPr>
          <w:pgSz w:w="11900" w:h="16838" w:orient="portrait"/>
          <w:cols w:equalWidth="0" w:num="2">
            <w:col w:w="6080" w:space="720"/>
            <w:col w:w="312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5430 LBJ Freeway, Suite 1700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w:t>
      </w:r>
    </w:p>
    <w:p>
      <w:pPr>
        <w:sectPr>
          <w:pgSz w:w="11900" w:h="16838" w:orient="portrait"/>
          <w:cols w:equalWidth="0" w:num="1">
            <w:col w:w="9920"/>
          </w:cols>
          <w:pgMar w:left="980" w:top="665" w:right="999" w:bottom="1440" w:gutter="0" w:footer="0" w:header="0"/>
          <w:type w:val="continuous"/>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Registrant’s telephone number, including area code: (972) 233-1700</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3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Trading Symbol(s)</w:t>
            </w: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2"/>
        </w:trPr>
        <w:tc>
          <w:tcPr>
            <w:tcW w:w="3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Common stock</w:t>
            </w:r>
          </w:p>
        </w:tc>
        <w:tc>
          <w:tcPr>
            <w:tcW w:w="200" w:type="dxa"/>
            <w:vAlign w:val="bottom"/>
          </w:tcPr>
          <w:p>
            <w:pPr>
              <w:spacing w:after="0"/>
              <w:rPr>
                <w:sz w:val="15"/>
                <w:szCs w:val="15"/>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VHI</w:t>
            </w:r>
          </w:p>
        </w:tc>
        <w:tc>
          <w:tcPr>
            <w:tcW w:w="22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bl>
    <w:p>
      <w:pPr>
        <w:spacing w:after="0" w:line="56" w:lineRule="exact"/>
        <w:rPr>
          <w:sz w:val="24"/>
          <w:szCs w:val="24"/>
          <w:color w:val="auto"/>
        </w:rPr>
      </w:pPr>
    </w:p>
    <w:p>
      <w:pPr>
        <w:jc w:val="both"/>
        <w:spacing w:after="0" w:line="229" w:lineRule="exact"/>
        <w:rPr>
          <w:sz w:val="20"/>
          <w:szCs w:val="20"/>
          <w:color w:val="auto"/>
        </w:rPr>
      </w:pPr>
      <w:r>
        <w:rPr>
          <w:rFonts w:ascii="Arial" w:cs="Arial" w:eastAsia="Arial" w:hAnsi="Arial"/>
          <w:sz w:val="17"/>
          <w:szCs w:val="17"/>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18"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16"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2760" w:type="dxa"/>
            <w:vAlign w:val="bottom"/>
          </w:tcPr>
          <w:p>
            <w:pPr>
              <w:ind w:left="8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2760" w:type="dxa"/>
            <w:vAlign w:val="bottom"/>
          </w:tcPr>
          <w:p>
            <w:pPr>
              <w:ind w:left="8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940" w:type="dxa"/>
            <w:vAlign w:val="bottom"/>
          </w:tcPr>
          <w:p>
            <w:pPr>
              <w:spacing w:after="0"/>
              <w:rPr>
                <w:sz w:val="20"/>
                <w:szCs w:val="20"/>
                <w:color w:val="auto"/>
              </w:rPr>
            </w:pPr>
            <w:r>
              <w:rPr>
                <w:rFonts w:ascii="Arial" w:cs="Arial" w:eastAsia="Arial" w:hAnsi="Arial"/>
                <w:sz w:val="18"/>
                <w:szCs w:val="18"/>
                <w:b w:val="1"/>
                <w:bCs w:val="1"/>
                <w:color w:val="auto"/>
              </w:rPr>
              <w:t>Emerging growth company</w:t>
            </w:r>
          </w:p>
        </w:tc>
        <w:tc>
          <w:tcPr>
            <w:tcW w:w="2760" w:type="dxa"/>
            <w:vAlign w:val="bottom"/>
          </w:tcPr>
          <w:p>
            <w:pPr>
              <w:ind w:left="8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74" w:lineRule="exact"/>
        <w:rPr>
          <w:sz w:val="24"/>
          <w:szCs w:val="24"/>
          <w:color w:val="auto"/>
        </w:rPr>
      </w:pPr>
    </w:p>
    <w:p>
      <w:pPr>
        <w:ind w:right="260"/>
        <w:spacing w:after="0" w:line="215" w:lineRule="exact"/>
        <w:rPr>
          <w:sz w:val="20"/>
          <w:szCs w:val="20"/>
          <w:color w:val="auto"/>
        </w:rPr>
      </w:pPr>
      <w:r>
        <w:rPr>
          <w:rFonts w:ascii="Arial" w:cs="Arial" w:eastAsia="Arial" w:hAnsi="Arial"/>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highlight w:val="black"/>
        </w:rPr>
        <w:t>☐</w:t>
      </w:r>
    </w:p>
    <w:p>
      <w:pPr>
        <w:spacing w:after="0" w:line="1" w:lineRule="exact"/>
        <w:rPr>
          <w:sz w:val="24"/>
          <w:szCs w:val="24"/>
          <w:color w:val="auto"/>
        </w:rPr>
      </w:pPr>
    </w:p>
    <w:p>
      <w:pPr>
        <w:ind w:right="1440"/>
        <w:spacing w:after="0" w:line="227" w:lineRule="exact"/>
        <w:rPr>
          <w:sz w:val="20"/>
          <w:szCs w:val="20"/>
          <w:color w:val="auto"/>
        </w:rPr>
      </w:pPr>
      <w:r>
        <w:rPr>
          <w:rFonts w:ascii="Arial" w:cs="Arial" w:eastAsia="Arial" w:hAnsi="Arial"/>
          <w:sz w:val="14"/>
          <w:szCs w:val="14"/>
          <w:b w:val="1"/>
          <w:bCs w:val="1"/>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Number of shares of the registrant’s common stock, $.01 par value per share, outstanding on October 31, 2022: 28,279,493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30480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73025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VALHI,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Page</w:t>
            </w:r>
          </w:p>
        </w:tc>
      </w:tr>
      <w:tr>
        <w:trPr>
          <w:trHeight w:val="171"/>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number</w:t>
            </w:r>
          </w:p>
        </w:tc>
      </w:tr>
      <w:tr>
        <w:trPr>
          <w:trHeight w:val="425"/>
        </w:trPr>
        <w:tc>
          <w:tcPr>
            <w:tcW w:w="9080" w:type="dxa"/>
            <w:vAlign w:val="bottom"/>
            <w:gridSpan w:val="24"/>
          </w:tcPr>
          <w:p>
            <w:pPr>
              <w:spacing w:after="0"/>
              <w:rPr>
                <w:sz w:val="20"/>
                <w:szCs w:val="20"/>
                <w:color w:val="auto"/>
              </w:rPr>
            </w:pPr>
            <w:r>
              <w:rPr>
                <w:rFonts w:ascii="Arial" w:cs="Arial" w:eastAsia="Arial" w:hAnsi="Arial"/>
                <w:sz w:val="18"/>
                <w:szCs w:val="18"/>
                <w:b w:val="1"/>
                <w:bCs w:val="1"/>
                <w:color w:val="auto"/>
              </w:rPr>
              <w:t>Part I.  FINANCIAL INFORMATION</w:t>
            </w:r>
          </w:p>
        </w:tc>
        <w:tc>
          <w:tcPr>
            <w:tcW w:w="840" w:type="dxa"/>
            <w:vAlign w:val="bottom"/>
          </w:tcPr>
          <w:p>
            <w:pPr>
              <w:spacing w:after="0"/>
              <w:rPr>
                <w:sz w:val="24"/>
                <w:szCs w:val="24"/>
                <w:color w:val="auto"/>
              </w:rPr>
            </w:pPr>
          </w:p>
        </w:tc>
      </w:tr>
      <w:tr>
        <w:trPr>
          <w:trHeight w:val="47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680" w:type="dxa"/>
            <w:vAlign w:val="bottom"/>
            <w:gridSpan w:val="18"/>
          </w:tcPr>
          <w:p>
            <w:pPr>
              <w:spacing w:after="0"/>
              <w:rPr>
                <w:sz w:val="20"/>
                <w:szCs w:val="20"/>
                <w:color w:val="auto"/>
              </w:rPr>
            </w:pPr>
            <w:r>
              <w:rPr>
                <w:rFonts w:ascii="Arial" w:cs="Arial" w:eastAsia="Arial" w:hAnsi="Arial"/>
                <w:sz w:val="18"/>
                <w:szCs w:val="18"/>
                <w:color w:val="auto"/>
              </w:rPr>
              <w:t>Financial Statements</w:t>
            </w:r>
          </w:p>
        </w:tc>
        <w:tc>
          <w:tcPr>
            <w:tcW w:w="84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Condensed Consolidated Balance Sheets –</w:t>
            </w:r>
          </w:p>
        </w:tc>
        <w:tc>
          <w:tcPr>
            <w:tcW w:w="456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color w:val="0000EE"/>
              </w:rPr>
              <w:t>December 31, 2021 and September 30, 2022 (unaudited)</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Condensed Consolidated Statements of Income (unaudited) –</w:t>
            </w:r>
          </w:p>
        </w:tc>
        <w:tc>
          <w:tcPr>
            <w:tcW w:w="322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color w:val="0000EE"/>
              </w:rPr>
              <w:t>Three and nine months ended September 30, 2021 and 2022</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Condensed Consolidated Statements of Comprehensive Income (unaudited) –</w:t>
            </w:r>
          </w:p>
        </w:tc>
        <w:tc>
          <w:tcPr>
            <w:tcW w:w="20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color w:val="0000EE"/>
              </w:rPr>
              <w:t>Three and nine months ended September 30, 2021 and 2022</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Condensed Consolidated Statements of Stockholders’ Equity (unaudited) –</w:t>
            </w:r>
          </w:p>
        </w:tc>
        <w:tc>
          <w:tcPr>
            <w:tcW w:w="22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20" w:type="dxa"/>
            <w:vAlign w:val="bottom"/>
            <w:gridSpan w:val="17"/>
          </w:tcPr>
          <w:p>
            <w:pPr>
              <w:spacing w:after="0" w:line="196" w:lineRule="exact"/>
              <w:rPr>
                <w:sz w:val="20"/>
                <w:szCs w:val="20"/>
                <w:color w:val="auto"/>
              </w:rPr>
            </w:pPr>
            <w:r>
              <w:rPr>
                <w:rFonts w:ascii="Arial" w:cs="Arial" w:eastAsia="Arial" w:hAnsi="Arial"/>
                <w:sz w:val="18"/>
                <w:szCs w:val="18"/>
                <w:color w:val="0000EE"/>
              </w:rPr>
              <w:t>Three and nine months ended September 30, 2021 and 2022</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Condensed Consolidated Statements of Cash Flows (unaudited) –</w:t>
            </w:r>
          </w:p>
        </w:tc>
        <w:tc>
          <w:tcPr>
            <w:tcW w:w="29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Nine months ended September 30, 2021 and 2022</w:t>
            </w:r>
          </w:p>
        </w:tc>
        <w:tc>
          <w:tcPr>
            <w:tcW w:w="382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8"/>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0000EE"/>
              </w:rPr>
              <w:t>Item 2.</w:t>
            </w:r>
          </w:p>
        </w:tc>
        <w:tc>
          <w:tcPr>
            <w:tcW w:w="7680" w:type="dxa"/>
            <w:vAlign w:val="bottom"/>
            <w:gridSpan w:val="18"/>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680" w:type="dxa"/>
            <w:vAlign w:val="bottom"/>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68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9080" w:type="dxa"/>
            <w:vAlign w:val="bottom"/>
            <w:gridSpan w:val="24"/>
          </w:tcPr>
          <w:p>
            <w:pPr>
              <w:spacing w:after="0"/>
              <w:rPr>
                <w:sz w:val="20"/>
                <w:szCs w:val="20"/>
                <w:color w:val="auto"/>
              </w:rPr>
            </w:pPr>
            <w:r>
              <w:rPr>
                <w:rFonts w:ascii="Arial" w:cs="Arial" w:eastAsia="Arial" w:hAnsi="Arial"/>
                <w:sz w:val="18"/>
                <w:szCs w:val="18"/>
                <w:b w:val="1"/>
                <w:bCs w:val="1"/>
                <w:color w:val="0000EE"/>
              </w:rPr>
              <w:t>Part II. OTHER INFORMATION</w:t>
            </w:r>
          </w:p>
        </w:tc>
        <w:tc>
          <w:tcPr>
            <w:tcW w:w="8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Item 1.</w:t>
            </w:r>
          </w:p>
        </w:tc>
        <w:tc>
          <w:tcPr>
            <w:tcW w:w="20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634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768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0"/>
              </w:rPr>
              <w:t>Item 6.</w:t>
            </w: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Exhibits</w:t>
            </w:r>
          </w:p>
        </w:tc>
        <w:tc>
          <w:tcPr>
            <w:tcW w:w="300" w:type="dxa"/>
            <w:vAlign w:val="bottom"/>
            <w:tcBorders>
              <w:top w:val="single" w:sz="8" w:color="0000EE"/>
            </w:tcBorders>
          </w:tcPr>
          <w:p>
            <w:pPr>
              <w:spacing w:after="0"/>
              <w:rPr>
                <w:sz w:val="24"/>
                <w:szCs w:val="24"/>
                <w:color w:val="auto"/>
              </w:rPr>
            </w:pPr>
          </w:p>
        </w:tc>
        <w:tc>
          <w:tcPr>
            <w:tcW w:w="67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980" w:type="dxa"/>
            <w:vAlign w:val="bottom"/>
          </w:tcPr>
          <w:p>
            <w:pPr>
              <w:jc w:val="center"/>
              <w:ind w:left="1310"/>
              <w:spacing w:after="0"/>
              <w:rPr>
                <w:sz w:val="20"/>
                <w:szCs w:val="20"/>
                <w:color w:val="auto"/>
              </w:rPr>
            </w:pPr>
            <w:r>
              <w:rPr>
                <w:rFonts w:ascii="Arial" w:cs="Arial" w:eastAsia="Arial" w:hAnsi="Arial"/>
                <w:sz w:val="18"/>
                <w:szCs w:val="18"/>
                <w:b w:val="1"/>
                <w:bCs w:val="1"/>
                <w:color w:val="auto"/>
              </w:rPr>
              <w:t>VALHI, INC. AND SUBSIDIARIES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80" w:type="dxa"/>
            <w:vAlign w:val="bottom"/>
          </w:tcPr>
          <w:p>
            <w:pPr>
              <w:jc w:val="center"/>
              <w:ind w:left="12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8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(In millions)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80" w:type="dxa"/>
            <w:vAlign w:val="bottom"/>
            <w:vMerge w:val="restart"/>
          </w:tcPr>
          <w:p>
            <w:pPr>
              <w:ind w:left="198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698.4</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equivalents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and other receivables,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Investment in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manufacturing joint venture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Mining properties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2,844.2</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jc w:val="center"/>
              <w:ind w:left="257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620" w:type="dxa"/>
            <w:vAlign w:val="bottom"/>
          </w:tcPr>
          <w:p>
            <w:pPr>
              <w:jc w:val="center"/>
              <w:ind w:left="1670"/>
              <w:spacing w:after="0"/>
              <w:rPr>
                <w:sz w:val="20"/>
                <w:szCs w:val="20"/>
                <w:color w:val="auto"/>
              </w:rPr>
            </w:pPr>
            <w:r>
              <w:rPr>
                <w:rFonts w:ascii="Arial" w:cs="Arial" w:eastAsia="Arial" w:hAnsi="Arial"/>
                <w:sz w:val="18"/>
                <w:szCs w:val="18"/>
                <w:b w:val="1"/>
                <w:bCs w:val="1"/>
                <w:color w:val="auto"/>
              </w:rPr>
              <w:t>VALHI, INC. AND SUBSIDIARIES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9"/>
              </w:rPr>
              <w:t>CONDENSED CONSOLIDATED BALANCE SHEETS (CONTINUED)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2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Current maturities of long-term debt</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Payable to affiliate - income taxes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pension costs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Accrued environmental remediation and related costs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noncurrent liabilities</w:t>
            </w: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Treasury stock, at cost</w:t>
            </w: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Valhi stockholders' equity</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 in subsidiaries</w:t>
            </w: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(Notes 6, 12 and 15)</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9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00" w:type="dxa"/>
            <w:vAlign w:val="bottom"/>
            <w:gridSpan w:val="5"/>
          </w:tcPr>
          <w:p>
            <w:pPr>
              <w:jc w:val="center"/>
              <w:ind w:left="2090"/>
              <w:spacing w:after="0"/>
              <w:rPr>
                <w:sz w:val="20"/>
                <w:szCs w:val="20"/>
                <w:color w:val="auto"/>
              </w:rPr>
            </w:pPr>
            <w:r>
              <w:rPr>
                <w:rFonts w:ascii="Arial" w:cs="Arial" w:eastAsia="Arial" w:hAnsi="Arial"/>
                <w:sz w:val="18"/>
                <w:szCs w:val="18"/>
                <w:b w:val="1"/>
                <w:bCs w:val="1"/>
                <w:color w:val="auto"/>
              </w:rPr>
              <w:t>VALHI, INC. AND SUBSIDIARIES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20" w:type="dxa"/>
            <w:vAlign w:val="bottom"/>
            <w:gridSpan w:val="8"/>
          </w:tcPr>
          <w:p>
            <w:pPr>
              <w:jc w:val="center"/>
              <w:ind w:left="85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90"/>
              </w:rPr>
              <w:t>(In millions, except per share data)</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0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570"/>
              <w:spacing w:after="0" w:line="196" w:lineRule="exact"/>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and other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Net sales</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578.9</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556.3</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1,613.2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revenues and other income</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Fixed asset impairment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deconsolidation of Basic Water Company ("BWC")</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w w:val="95"/>
              </w:rPr>
              <w:t>Other components of net periodic pension and OPEB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Noncontrolling interest in net income of subsidiaries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Valhi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attributable to Valhi stockholders: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Basic and diluted net income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2"/>
                <w:szCs w:val="22"/>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tcPr>
          <w:p>
            <w:pPr>
              <w:spacing w:after="0"/>
              <w:rPr>
                <w:sz w:val="22"/>
                <w:szCs w:val="22"/>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Basic and diluted weighted average shares outstanding</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5160" w:type="dxa"/>
            <w:vAlign w:val="bottom"/>
            <w:gridSpan w:val="5"/>
          </w:tcPr>
          <w:p>
            <w:pPr>
              <w:jc w:val="center"/>
              <w:ind w:left="2130"/>
              <w:spacing w:after="0"/>
              <w:rPr>
                <w:sz w:val="20"/>
                <w:szCs w:val="20"/>
                <w:color w:val="auto"/>
              </w:rPr>
            </w:pPr>
            <w:r>
              <w:rPr>
                <w:rFonts w:ascii="Arial" w:cs="Arial" w:eastAsia="Arial" w:hAnsi="Arial"/>
                <w:sz w:val="18"/>
                <w:szCs w:val="18"/>
                <w:b w:val="1"/>
                <w:bCs w:val="1"/>
                <w:color w:val="auto"/>
              </w:rPr>
              <w:t>VALHI, INC. AND SUBSIDIARIES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440" w:type="dxa"/>
            <w:vAlign w:val="bottom"/>
            <w:gridSpan w:val="11"/>
          </w:tcPr>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r>
      <w:tr>
        <w:trPr>
          <w:trHeight w:val="196"/>
        </w:trPr>
        <w:tc>
          <w:tcPr>
            <w:tcW w:w="12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right"/>
              <w:ind w:right="550"/>
              <w:spacing w:after="0" w:line="196" w:lineRule="exact"/>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16"/>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Currency translation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r>
      <w:tr>
        <w:trPr>
          <w:trHeight w:val="216"/>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Defined benefit pension plans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16"/>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10"/>
        </w:trPr>
        <w:tc>
          <w:tcPr>
            <w:tcW w:w="4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comprehensive income (loss), net</w:t>
            </w: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r>
      <w:tr>
        <w:trPr>
          <w:trHeight w:val="209"/>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w:t>
            </w: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1"/>
              </w:rPr>
              <w:t>Comprehensive income attributable to noncontrolling interest</w:t>
            </w: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r>
      <w:tr>
        <w:trPr>
          <w:trHeight w:val="210"/>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Comprehensive income attributable to Valhi stockholders</w:t>
            </w: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w:t>
            </w: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VALHI,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gridSpan w:val="16"/>
          </w:tcPr>
          <w:p>
            <w:pPr>
              <w:jc w:val="right"/>
              <w:ind w:right="419"/>
              <w:spacing w:after="0"/>
              <w:rPr>
                <w:sz w:val="20"/>
                <w:szCs w:val="20"/>
                <w:color w:val="auto"/>
              </w:rPr>
            </w:pPr>
            <w:r>
              <w:rPr>
                <w:rFonts w:ascii="Arial" w:cs="Arial" w:eastAsia="Arial" w:hAnsi="Arial"/>
                <w:sz w:val="16"/>
                <w:szCs w:val="16"/>
                <w:b w:val="1"/>
                <w:bCs w:val="1"/>
                <w:color w:val="auto"/>
                <w:w w:val="98"/>
              </w:rPr>
              <w:t>Three months ended September 30, 2021 and 2022 (unaudited)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w w:val="91"/>
              </w:rPr>
              <w:t>controlling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stock</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1"/>
              </w:rPr>
              <w:t>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stock</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Dividends paid to noncontrolling 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 $.08 per share</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r>
              <w:rPr>
                <w:rFonts w:ascii="Arial" w:cs="Arial" w:eastAsia="Arial" w:hAnsi="Arial"/>
                <w:sz w:val="16"/>
                <w:szCs w:val="16"/>
                <w:u w:val="single" w:color="auto"/>
                <w:color w:val="auto"/>
              </w:rPr>
              <w:t>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r>
              <w:rPr>
                <w:rFonts w:ascii="Arial" w:cs="Arial" w:eastAsia="Arial" w:hAnsi="Arial"/>
                <w:sz w:val="16"/>
                <w:szCs w:val="16"/>
                <w:u w:val="single" w:color="auto"/>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Dividends paid to noncontrolling 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 $.08 per share</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669.8</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494.0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1,224.5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16"/>
          </w:tcPr>
          <w:p>
            <w:pPr>
              <w:jc w:val="right"/>
              <w:ind w:right="459"/>
              <w:spacing w:after="0"/>
              <w:rPr>
                <w:sz w:val="20"/>
                <w:szCs w:val="20"/>
                <w:color w:val="auto"/>
              </w:rPr>
            </w:pPr>
            <w:r>
              <w:rPr>
                <w:rFonts w:ascii="Arial" w:cs="Arial" w:eastAsia="Arial" w:hAnsi="Arial"/>
                <w:sz w:val="16"/>
                <w:szCs w:val="16"/>
                <w:b w:val="1"/>
                <w:bCs w:val="1"/>
                <w:color w:val="auto"/>
                <w:w w:val="99"/>
              </w:rPr>
              <w:t>Nine months ended September 30, 2021 and 2022 (unaudited)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w w:val="91"/>
              </w:rPr>
              <w:t>controlling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6"/>
              </w:rPr>
              <w:t>stock</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1"/>
              </w:rPr>
              <w:t>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stock</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Dividends paid to noncontrolling 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 $.24 per share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Equity transactions with noncontrolling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interest, net and other</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6"/>
                <w:szCs w:val="16"/>
                <w:color w:val="auto"/>
              </w:rPr>
              <w:t>Balance at September 30, 2021</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669.5</w:t>
            </w:r>
          </w:p>
        </w:tc>
        <w:tc>
          <w:tcPr>
            <w:tcW w:w="32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351.3</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w:t>
            </w:r>
            <w:r>
              <w:rPr>
                <w:rFonts w:ascii="Arial" w:cs="Arial" w:eastAsia="Arial" w:hAnsi="Arial"/>
                <w:sz w:val="16"/>
                <w:szCs w:val="16"/>
                <w:u w:val="single" w:color="auto"/>
                <w:color w:val="auto"/>
              </w:rPr>
              <w:t>6)</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313.</w:t>
            </w:r>
            <w:r>
              <w:rPr>
                <w:rFonts w:ascii="Arial" w:cs="Arial" w:eastAsia="Arial" w:hAnsi="Arial"/>
                <w:sz w:val="16"/>
                <w:szCs w:val="16"/>
                <w:u w:val="single" w:color="auto"/>
                <w:color w:val="auto"/>
              </w:rPr>
              <w:t>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1,069.7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Balance at December 31, 2021</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669.0</w:t>
            </w:r>
          </w:p>
        </w:tc>
        <w:tc>
          <w:tcPr>
            <w:tcW w:w="32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401.1</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(49.6)</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1,158.4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Other comprehensive loss, net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to noncontrolling interest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Cash dividends - $.24 per share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Equity transactions with noncontrolling</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net and other</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669.8</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494.0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r>
              <w:rPr>
                <w:rFonts w:ascii="Arial" w:cs="Arial" w:eastAsia="Arial" w:hAnsi="Arial"/>
                <w:sz w:val="16"/>
                <w:szCs w:val="16"/>
                <w:b w:val="1"/>
                <w:bCs w:val="1"/>
                <w:u w:val="single" w:color="auto"/>
                <w:color w:val="auto"/>
              </w:rPr>
              <w:t>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w:t>
            </w:r>
            <w:r>
              <w:rPr>
                <w:rFonts w:ascii="Arial" w:cs="Arial" w:eastAsia="Arial" w:hAnsi="Arial"/>
                <w:sz w:val="16"/>
                <w:szCs w:val="16"/>
                <w:b w:val="1"/>
                <w:bCs w:val="1"/>
                <w:u w:val="single" w:color="auto"/>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1,224.5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120"/>
          </w:cols>
          <w:pgMar w:left="880" w:top="517" w:right="8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EE"/>
            </w:tcBorders>
          </w:tcPr>
          <w:p>
            <w:pPr>
              <w:spacing w:after="0"/>
              <w:rPr>
                <w:sz w:val="24"/>
                <w:szCs w:val="24"/>
                <w:color w:val="auto"/>
              </w:rPr>
            </w:pPr>
          </w:p>
        </w:tc>
        <w:tc>
          <w:tcPr>
            <w:tcW w:w="5380" w:type="dxa"/>
            <w:vAlign w:val="bottom"/>
          </w:tcPr>
          <w:p>
            <w:pPr>
              <w:jc w:val="center"/>
              <w:ind w:left="1910"/>
              <w:spacing w:after="0"/>
              <w:rPr>
                <w:sz w:val="20"/>
                <w:szCs w:val="20"/>
                <w:color w:val="auto"/>
              </w:rPr>
            </w:pPr>
            <w:r>
              <w:rPr>
                <w:rFonts w:ascii="Arial" w:cs="Arial" w:eastAsia="Arial" w:hAnsi="Arial"/>
                <w:sz w:val="18"/>
                <w:szCs w:val="18"/>
                <w:b w:val="1"/>
                <w:bCs w:val="1"/>
                <w:color w:val="auto"/>
              </w:rPr>
              <w:t>VALHI, INC. AND SUBSIDIARIES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702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5380" w:type="dxa"/>
            <w:vAlign w:val="bottom"/>
          </w:tcPr>
          <w:p>
            <w:pPr>
              <w:jc w:val="center"/>
              <w:ind w:left="1910"/>
              <w:spacing w:after="0"/>
              <w:rPr>
                <w:sz w:val="20"/>
                <w:szCs w:val="20"/>
                <w:color w:val="auto"/>
              </w:rPr>
            </w:pPr>
            <w:r>
              <w:rPr>
                <w:rFonts w:ascii="Arial" w:cs="Arial" w:eastAsia="Arial" w:hAnsi="Arial"/>
                <w:sz w:val="18"/>
                <w:szCs w:val="18"/>
                <w:b w:val="1"/>
                <w:bCs w:val="1"/>
                <w:color w:val="auto"/>
                <w:w w:val="93"/>
              </w:rPr>
              <w:t>(In millions)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3"/>
          </w:tcPr>
          <w:p>
            <w:pPr>
              <w:jc w:val="right"/>
              <w:ind w:right="30"/>
              <w:spacing w:after="0" w:line="196" w:lineRule="exact"/>
              <w:rPr>
                <w:sz w:val="20"/>
                <w:szCs w:val="20"/>
                <w:color w:val="auto"/>
              </w:rPr>
            </w:pPr>
            <w:r>
              <w:rPr>
                <w:rFonts w:ascii="Arial" w:cs="Arial" w:eastAsia="Arial" w:hAnsi="Arial"/>
                <w:sz w:val="18"/>
                <w:szCs w:val="18"/>
                <w:b w:val="1"/>
                <w:bCs w:val="1"/>
                <w:color w:val="auto"/>
              </w:rPr>
              <w:t>(unaudited)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109.3</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146.6</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Gain from sale of land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plan expense greater than cash funding</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Contributions to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manufacturing joint venture, net</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Fixed asset impairment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on deconsolidation of BWC</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Accounts and other receivables,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(142.0)</w:t>
            </w: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Land held for development,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with affiliates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Cash, cash equivalents and restricted cash of BWC</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land sales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disposal of marketable securities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Principal payments on indebtedness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Deferred financing fees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Valhi cash dividends paid</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Distributions to noncontrolling interest in subsidiaries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Subsidiary treasury stock acquired</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(84.5)</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Cash, cash equivalents and restricted cash and cash equivalents - net change from:</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Operating, investing and financing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(114.2)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Effect of exchange rates on cash</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792.9</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for:</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Interest, net of amounts capitalized</w:t>
            </w:r>
          </w:p>
        </w:tc>
        <w:tc>
          <w:tcPr>
            <w:tcW w:w="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taxes, net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Noncash investing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accruals for capital expenditures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4"/>
          <w:szCs w:val="14"/>
          <w:color w:val="auto"/>
        </w:rPr>
        <w:t>.</w:t>
      </w:r>
    </w:p>
    <w:p>
      <w:pPr>
        <w:sectPr>
          <w:pgSz w:w="11900" w:h="16838" w:orient="portrait"/>
          <w:cols w:equalWidth="0" w:num="1">
            <w:col w:w="9920"/>
          </w:cols>
          <w:pgMar w:left="980" w:top="500" w:right="9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VALHI,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Organization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are majority owned by a wholly-owned subsidiary of Contran Corporation (“Contran”), which owns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92% of our outstanding common stock at September 30, 2022.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2022, Ms. Simmons and the Family Trust may be deemed to control Contran and us.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Consolidated in this Quarterly Report are the results of our wholly-owned and majority-owned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including NL Industries, Inc., Kronos Worldwide, Inc., CompX International Inc., Tremont LLC, Basic Management, Inc. (“BMI”) and The LandWell Company (“LandWell”). Kronos (NYSE: KRO), NL (NYSE: NL) and CompX (NYSE American: CIX) each file periodic reports with the Securities and Exchange Commission (“SEC”).</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unaudited Condensed Consolidated Financial Statements contained in this Quarterly Report have been prepared on the same basis as the audited Consolidated Financial Statements included in our Annual Report on Form 10-K for the year ended December 31, 2021 that we filed with the SEC on March 10, 2022 (the “2021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2021 contained in this Quarterly Report as compared to our audited Consolidated Financial Statements at that date, and we have omitted certain information and footnote disclosures (including those related to the Consolidated Balance Sheet at December 31, 2021) normally included in financial statements prepared in accordance with accounting principles generally accepted in the United States of America (“GAAP”). Our results of operations for the interim periods ended September 30, 2022 may not be indicative of our operating results for the full year. The Condensed Consolidated Financial Statements contained in this Quarterly Report should be read in conjunction with our 2021 Consolidated Financial Statements contained in our 2021 Annual Report.</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references in this report to “we,” “us” or “our” refer to Valhi, Inc. and its subsidiaries (NYSE: VHI), taken as a whole.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Note 2 – Business segment information:</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7"/>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jc w:val="right"/>
              <w:ind w:right="630"/>
              <w:spacing w:after="0"/>
              <w:rPr>
                <w:sz w:val="20"/>
                <w:szCs w:val="20"/>
                <w:color w:val="auto"/>
              </w:rPr>
            </w:pPr>
            <w:r>
              <w:rPr>
                <w:rFonts w:ascii="Arial" w:cs="Arial" w:eastAsia="Arial" w:hAnsi="Arial"/>
                <w:sz w:val="18"/>
                <w:szCs w:val="18"/>
                <w:b w:val="1"/>
                <w:bCs w:val="1"/>
                <w:color w:val="auto"/>
              </w:rPr>
              <w:t>% controlled at</w:t>
            </w: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Business segment</w:t>
            </w:r>
          </w:p>
        </w:tc>
        <w:tc>
          <w:tcPr>
            <w:tcW w:w="220" w:type="dxa"/>
            <w:vAlign w:val="bottom"/>
          </w:tcPr>
          <w:p>
            <w:pPr>
              <w:spacing w:after="0"/>
              <w:rPr>
                <w:sz w:val="20"/>
                <w:szCs w:val="20"/>
                <w:color w:val="auto"/>
              </w:rPr>
            </w:pPr>
          </w:p>
        </w:tc>
        <w:tc>
          <w:tcPr>
            <w:tcW w:w="2580" w:type="dxa"/>
            <w:vAlign w:val="bottom"/>
            <w:gridSpan w:val="2"/>
          </w:tcPr>
          <w:p>
            <w:pPr>
              <w:ind w:left="940"/>
              <w:spacing w:after="0"/>
              <w:rPr>
                <w:sz w:val="20"/>
                <w:szCs w:val="20"/>
                <w:color w:val="auto"/>
              </w:rPr>
            </w:pPr>
            <w:r>
              <w:rPr>
                <w:rFonts w:ascii="Arial" w:cs="Arial" w:eastAsia="Arial" w:hAnsi="Arial"/>
                <w:sz w:val="18"/>
                <w:szCs w:val="18"/>
                <w:b w:val="1"/>
                <w:bCs w:val="1"/>
                <w:color w:val="auto"/>
              </w:rPr>
              <w:t>Entity</w:t>
            </w:r>
          </w:p>
        </w:tc>
        <w:tc>
          <w:tcPr>
            <w:tcW w:w="2480" w:type="dxa"/>
            <w:vAlign w:val="bottom"/>
          </w:tcPr>
          <w:p>
            <w:pPr>
              <w:jc w:val="right"/>
              <w:ind w:right="470"/>
              <w:spacing w:after="0"/>
              <w:rPr>
                <w:sz w:val="20"/>
                <w:szCs w:val="20"/>
                <w:color w:val="auto"/>
              </w:rPr>
            </w:pPr>
            <w:r>
              <w:rPr>
                <w:rFonts w:ascii="Arial" w:cs="Arial" w:eastAsia="Arial" w:hAnsi="Arial"/>
                <w:sz w:val="18"/>
                <w:szCs w:val="18"/>
                <w:b w:val="1"/>
                <w:bCs w:val="1"/>
                <w:color w:val="auto"/>
              </w:rPr>
              <w:t>September 30, 2022</w:t>
            </w:r>
          </w:p>
        </w:tc>
      </w:tr>
      <w:tr>
        <w:trPr>
          <w:trHeight w:val="209"/>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Chemicals</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Kronos</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Component products</w:t>
            </w:r>
          </w:p>
        </w:tc>
        <w:tc>
          <w:tcPr>
            <w:tcW w:w="2800" w:type="dxa"/>
            <w:vAlign w:val="bottom"/>
            <w:gridSpan w:val="3"/>
          </w:tcPr>
          <w:p>
            <w:pPr>
              <w:ind w:left="220"/>
              <w:spacing w:after="0"/>
              <w:rPr>
                <w:sz w:val="20"/>
                <w:szCs w:val="20"/>
                <w:color w:val="auto"/>
              </w:rPr>
            </w:pPr>
            <w:r>
              <w:rPr>
                <w:rFonts w:ascii="Arial" w:cs="Arial" w:eastAsia="Arial" w:hAnsi="Arial"/>
                <w:sz w:val="18"/>
                <w:szCs w:val="18"/>
                <w:color w:val="auto"/>
              </w:rPr>
              <w:t>CompX</w:t>
            </w: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87%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Real estate management and development</w:t>
            </w:r>
          </w:p>
        </w:tc>
        <w:tc>
          <w:tcPr>
            <w:tcW w:w="2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BMI and LandWell</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 - 77%</w:t>
            </w:r>
          </w:p>
        </w:tc>
      </w:tr>
      <w:tr>
        <w:trPr>
          <w:trHeight w:val="756"/>
        </w:trPr>
        <w:tc>
          <w:tcPr>
            <w:tcW w:w="4640" w:type="dxa"/>
            <w:vAlign w:val="bottom"/>
          </w:tcPr>
          <w:p>
            <w:pPr>
              <w:spacing w:after="0"/>
              <w:rPr>
                <w:sz w:val="24"/>
                <w:szCs w:val="24"/>
                <w:color w:val="auto"/>
              </w:rPr>
            </w:pPr>
          </w:p>
        </w:tc>
        <w:tc>
          <w:tcPr>
            <w:tcW w:w="2560" w:type="dxa"/>
            <w:vAlign w:val="bottom"/>
            <w:gridSpan w:val="2"/>
          </w:tcPr>
          <w:p>
            <w:pPr>
              <w:jc w:val="right"/>
              <w:ind w:right="211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47"/>
        </w:trPr>
        <w:tc>
          <w:tcPr>
            <w:tcW w:w="4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control of Kronos includes approximately 50% we hold directly and approximately 31% held directly by NL. We own approximately 83% of NL. Our control of CompX is through NL. We own approximately 63% of BMI. Our control of LandWell includes the approximately 27% we hold directly and 50% held by BMI.</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Three months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jc w:val="right"/>
              <w:ind w:right="430"/>
              <w:spacing w:after="0" w:line="196" w:lineRule="exact"/>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Chemicals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499.8</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459.6</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1,443.4</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1,587.8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 products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Real estate management and development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105.5</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r>
              <w:rPr>
                <w:rFonts w:ascii="Arial" w:cs="Arial" w:eastAsia="Arial" w:hAnsi="Arial"/>
                <w:sz w:val="18"/>
                <w:szCs w:val="18"/>
                <w:u w:val="single" w:color="auto"/>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1,819.9</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Chemicals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376.0</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1,235.0</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Component products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88.9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management and development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0" w:type="dxa"/>
            <w:vAlign w:val="bottom"/>
          </w:tcPr>
          <w:p>
            <w:pPr>
              <w:spacing w:after="0"/>
              <w:rPr>
                <w:sz w:val="1"/>
                <w:szCs w:val="1"/>
                <w:color w:val="auto"/>
              </w:rPr>
            </w:pPr>
          </w:p>
        </w:tc>
      </w:tr>
      <w:tr>
        <w:trPr>
          <w:trHeight w:val="249"/>
        </w:trPr>
        <w:tc>
          <w:tcPr>
            <w:tcW w:w="5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r>
              <w:rPr>
                <w:rFonts w:ascii="Arial" w:cs="Arial" w:eastAsia="Arial" w:hAnsi="Arial"/>
                <w:sz w:val="18"/>
                <w:szCs w:val="18"/>
                <w:u w:val="single" w:color="auto"/>
                <w:color w:val="auto"/>
              </w:rPr>
              <w:t>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435.9</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1,382.1</w:t>
            </w:r>
          </w:p>
        </w:tc>
        <w:tc>
          <w:tcPr>
            <w:tcW w:w="0" w:type="dxa"/>
            <w:vAlign w:val="bottom"/>
          </w:tcPr>
          <w:p>
            <w:pPr>
              <w:spacing w:after="0"/>
              <w:rPr>
                <w:sz w:val="1"/>
                <w:szCs w:val="1"/>
                <w:color w:val="auto"/>
              </w:rPr>
            </w:pPr>
          </w:p>
        </w:tc>
      </w:tr>
      <w:tr>
        <w:trPr>
          <w:trHeight w:val="197"/>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Chemicals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122.7</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83.6</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352.8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 products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Real estate management and development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gross margin</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r>
              <w:rPr>
                <w:rFonts w:ascii="Arial" w:cs="Arial" w:eastAsia="Arial" w:hAnsi="Arial"/>
                <w:sz w:val="18"/>
                <w:szCs w:val="18"/>
                <w:u w:val="single" w:color="auto"/>
                <w:color w:val="auto"/>
              </w:rPr>
              <w:t>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r>
              <w:rPr>
                <w:rFonts w:ascii="Arial" w:cs="Arial" w:eastAsia="Arial" w:hAnsi="Arial"/>
                <w:sz w:val="18"/>
                <w:szCs w:val="18"/>
                <w:u w:val="single" w:color="auto"/>
                <w:color w:val="auto"/>
              </w:rPr>
              <w:t>6</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Chemicals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Component products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management and development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0"/>
        </w:trPr>
        <w:tc>
          <w:tcPr>
            <w:tcW w:w="5480" w:type="dxa"/>
            <w:vAlign w:val="bottom"/>
          </w:tcPr>
          <w:p>
            <w:pPr>
              <w:ind w:left="440"/>
              <w:spacing w:after="0"/>
              <w:rPr>
                <w:sz w:val="20"/>
                <w:szCs w:val="20"/>
                <w:color w:val="auto"/>
              </w:rPr>
            </w:pPr>
            <w:r>
              <w:rPr>
                <w:rFonts w:ascii="Arial" w:cs="Arial" w:eastAsia="Arial" w:hAnsi="Arial"/>
                <w:sz w:val="18"/>
                <w:szCs w:val="18"/>
                <w:color w:val="auto"/>
              </w:rPr>
              <w:t>Total operating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242.0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items: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Interest income and other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land sales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w w:val="95"/>
              </w:rPr>
              <w:t>Changes in market value of Valhi common stock held by subsidiaries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components of net periodic pension and OPEB expense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General expenses,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209"/>
        </w:trPr>
        <w:tc>
          <w:tcPr>
            <w:tcW w:w="548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r>
              <w:rPr>
                <w:rFonts w:ascii="Arial" w:cs="Arial" w:eastAsia="Arial" w:hAnsi="Arial"/>
                <w:sz w:val="18"/>
                <w:szCs w:val="18"/>
                <w:u w:val="single" w:color="auto"/>
                <w:color w:val="auto"/>
              </w:rPr>
              <w:t>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r>
              <w:rPr>
                <w:rFonts w:ascii="Arial" w:cs="Arial" w:eastAsia="Arial" w:hAnsi="Arial"/>
                <w:sz w:val="18"/>
                <w:szCs w:val="18"/>
                <w:b w:val="1"/>
                <w:bCs w:val="1"/>
                <w:u w:val="single" w:color="auto"/>
                <w:color w:val="auto"/>
              </w:rPr>
              <w:t>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Segment results we report may differ from amounts separately reported by our various subsidiaries due to purchase accounting adjustments and related amortization or differences in the way we define operating income. Intersegment sales are not material. Included in the determination of Chemicals operating income is a business interruption insurance settlement gain of $2.7 million recognized in the third quarter of 2022 (see Note 11). Infrastructure reimbursements and land related income is included in the determination of Real Estate Management and Development operating income (see Note 11).</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BMI provides utility services, among other things, to an industrial park located in Henderson, Nevada and is responsible for the delivery of water to the City of Henderson and various other users under long-term contracts through a water delivery system owned and operated by BWC, a wholly-owned subsidiary of BMI. BWC’s water delivery system operates on Lake Mead in Nevada. Due to the Western drought, water levels in Lake Mead have been declining for much of the last twenty years. As a result of water release curtailments upstream of Lake Mead which began late in the second quarter, Lake Mead water levels have dropped precipitously to historically low levels. On June 30, 2022 BWC was no longer able to pump water without the risk of damaging the system and consequently ceased operations at its water intake facility to best preserve the system. Current estimates of Lake Mead water levels do not indicate lake levels will be sufficient to enable BWC to resume pumping water for the foreseeable future. We considered BWC’s inability to pump water from Lake Mead to be a triggering event under the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which caused us to evaluate the water system fixed assets for impairment. Because BWC is unable to deliver water under its current contracts and therefore unable to generate revenue, we determined the water system’s assets were fully impaired except to the extent certain equipment had alternative use outside of BWC’s operations, in which case those assets were written down to estimated salvage value. The $16.4 million impairment charge primarily recognized in the second quarter of 2022 represents the write down of the book value to the estimated salvage value of the assets. Without the ability to pump and deliver water to its customers, BWC’s operating expenses exceed</w:t>
      </w:r>
    </w:p>
    <w:p>
      <w:pPr>
        <w:sectPr>
          <w:pgSz w:w="11900" w:h="16838" w:orient="portrait"/>
          <w:cols w:equalWidth="0" w:num="1">
            <w:col w:w="9920"/>
          </w:cols>
          <w:pgMar w:left="980" w:top="517" w:right="999" w:bottom="144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its revenues, and on September 10, 2022 BWC and its subsidiaries voluntarily filed for Chapter 11 bankruptcy protection in the United States Bankruptcy Court for the District of Nevada. Because BWC has filed for bankruptcy protection, we and BMI can no longer affirmatively assert we control BWC and, as such, in accordance with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we deconsolidated BWC as of the date of the bankruptcy filing and recognized a loss of $2.0 million in the third quarter of 2022 on the deconsolidation. In addition, BMI had an outstanding intercompany accounts receivable balance with BWC on the date of the bankruptcy filing, and we recognized $1.3 million of bad debt expense to fully reserve this balance during the third quarter of 2022. All of these charges are included in the determination of the Real Estate Management and Development’s operating income in the third quarter and first nine months of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Note 3 – Accounts and other receivables, net:</w:t>
            </w: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6"/>
          </w:tcPr>
          <w:p>
            <w:pPr>
              <w:jc w:val="right"/>
              <w:ind w:right="1050"/>
              <w:spacing w:after="0" w:line="196" w:lineRule="exact"/>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Kronos</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CompX</w:t>
            </w:r>
          </w:p>
        </w:tc>
        <w:tc>
          <w:tcPr>
            <w:tcW w:w="2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BMI/LandWell</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VAT and other receivables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affiliates: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Louisiana Pigment Company, L.P. ("LPC")</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Contran - trade items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Other - trade items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44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8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1"/>
        </w:trPr>
        <w:tc>
          <w:tcPr>
            <w:tcW w:w="4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6"/>
          </w:tcPr>
          <w:p>
            <w:pPr>
              <w:jc w:val="right"/>
              <w:ind w:right="1070"/>
              <w:spacing w:after="0" w:line="196" w:lineRule="exact"/>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Chemicals</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 products</w:t>
            </w:r>
          </w:p>
        </w:tc>
        <w:tc>
          <w:tcPr>
            <w:tcW w:w="24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raw materials</w:t>
            </w:r>
          </w:p>
        </w:tc>
        <w:tc>
          <w:tcPr>
            <w:tcW w:w="24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Chemicals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 products</w:t>
            </w:r>
          </w:p>
        </w:tc>
        <w:tc>
          <w:tcPr>
            <w:tcW w:w="24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in-process products</w:t>
            </w:r>
          </w:p>
        </w:tc>
        <w:tc>
          <w:tcPr>
            <w:tcW w:w="24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Chemicals</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Component products</w:t>
            </w:r>
          </w:p>
        </w:tc>
        <w:tc>
          <w:tcPr>
            <w:tcW w:w="24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finished products</w:t>
            </w:r>
          </w:p>
        </w:tc>
        <w:tc>
          <w:tcPr>
            <w:tcW w:w="24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Supplies (chemicals)</w:t>
            </w:r>
          </w:p>
        </w:tc>
        <w:tc>
          <w:tcPr>
            <w:tcW w:w="24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4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80" w:type="dxa"/>
            <w:vAlign w:val="bottom"/>
            <w:vMerge w:val="restart"/>
          </w:tcPr>
          <w:p>
            <w:pPr>
              <w:jc w:val="right"/>
              <w:ind w:right="1510"/>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41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Note 5 – Other assets: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7"/>
          </w:tcPr>
          <w:p>
            <w:pPr>
              <w:jc w:val="right"/>
              <w:ind w:right="1070"/>
              <w:spacing w:after="0" w:line="196" w:lineRule="exact"/>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Note receivables - OPA</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Land held for development</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IBNR receivables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Pension asset</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Marketable securities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9"/>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Long-term debt:</w:t>
            </w: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7"/>
          </w:tcPr>
          <w:p>
            <w:pPr>
              <w:jc w:val="right"/>
              <w:ind w:right="1090"/>
              <w:spacing w:after="0" w:line="196" w:lineRule="exact"/>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Valhi:</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Contran credit facility</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Subsidiary debt:</w:t>
            </w:r>
          </w:p>
        </w:tc>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Kronos: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Senior Notes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390.2</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LandWell:</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 payable to Western Alliance Business Trust</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BMI:</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BWC Bank loan from Western Alliance Bank</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0"/>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subsidiary debt</w:t>
            </w:r>
          </w:p>
        </w:tc>
        <w:tc>
          <w:tcPr>
            <w:tcW w:w="13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405.4</w:t>
            </w:r>
          </w:p>
        </w:tc>
        <w:tc>
          <w:tcPr>
            <w:tcW w:w="0" w:type="dxa"/>
            <w:vAlign w:val="bottom"/>
          </w:tcPr>
          <w:p>
            <w:pPr>
              <w:spacing w:after="0"/>
              <w:rPr>
                <w:sz w:val="1"/>
                <w:szCs w:val="1"/>
                <w:color w:val="auto"/>
              </w:rPr>
            </w:pPr>
          </w:p>
        </w:tc>
      </w:tr>
      <w:tr>
        <w:trPr>
          <w:trHeight w:val="209"/>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Total debt</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540.2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current maturities</w:t>
            </w:r>
          </w:p>
        </w:tc>
        <w:tc>
          <w:tcPr>
            <w:tcW w:w="13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0"/>
        </w:trPr>
        <w:tc>
          <w:tcPr>
            <w:tcW w:w="5300" w:type="dxa"/>
            <w:vAlign w:val="bottom"/>
            <w:gridSpan w:val="2"/>
          </w:tcPr>
          <w:p>
            <w:pPr>
              <w:ind w:left="660"/>
              <w:spacing w:after="0"/>
              <w:rPr>
                <w:sz w:val="20"/>
                <w:szCs w:val="20"/>
                <w:color w:val="auto"/>
              </w:rPr>
            </w:pPr>
            <w:r>
              <w:rPr>
                <w:rFonts w:ascii="Arial" w:cs="Arial" w:eastAsia="Arial" w:hAnsi="Arial"/>
                <w:sz w:val="18"/>
                <w:szCs w:val="18"/>
                <w:color w:val="auto"/>
              </w:rPr>
              <w:t>Total long-term debt</w:t>
            </w:r>
          </w:p>
        </w:tc>
        <w:tc>
          <w:tcPr>
            <w:tcW w:w="13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649.9</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538.2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Valhi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Contran credit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During the first nine months of 2022, we had borrowings of $.1 million and repayments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$38.2 million under this facility. The average interest rate on the existing balance for the nine months ended September 30, 2022 was 5.20%. At September 30, 2022, the interest rate was 7.25% and $90.2 million was available for borrowing under this facility.</w:t>
      </w:r>
    </w:p>
    <w:p>
      <w:pPr>
        <w:spacing w:after="0" w:line="1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Kronos </w:t>
      </w:r>
      <w:r>
        <w:rPr>
          <w:rFonts w:ascii="Arial" w:cs="Arial" w:eastAsia="Arial" w:hAnsi="Arial"/>
          <w:sz w:val="16"/>
          <w:szCs w:val="16"/>
          <w:i w:val="1"/>
          <w:iCs w:val="1"/>
          <w:color w:val="auto"/>
        </w:rPr>
        <w:t>– Senior Notes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At September 30, 2022, the carrying value of Kronos’ 3.75% Senior Secured Notes due September 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2025 (€400 million aggregate principal amount outstanding) is stated net of unamortized debt issuance costs of $2.4 million.</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During the first nine months of 2022, Kronos had no borrowings or repayments under its $225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revolving credit facility (“Global Revolver”) and at September 30, 2022, approximately $207 million was available for borrowing under the Global Revolver.</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BMI </w:t>
      </w:r>
      <w:r>
        <w:rPr>
          <w:rFonts w:ascii="Arial" w:cs="Arial" w:eastAsia="Arial" w:hAnsi="Arial"/>
          <w:sz w:val="17"/>
          <w:szCs w:val="17"/>
          <w:color w:val="auto"/>
        </w:rPr>
        <w:t>– In February 2017, BWC entered into a $20.5 million loan agreement with Western Alliance Bank. In 2022, we repaid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$8.4 million on this loan prior to September 10, 2022. As a result of BWC’s bankruptcy filing, BWC is no longer consolidated in our Condensed Consolidated Financial Statements, including the loan from Western Alliance Bank (see Note 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in compliance with all of our debt covenants at September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Note 7 – Accounts payable and accrued liabilities: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right"/>
              <w:ind w:right="910"/>
              <w:spacing w:after="0" w:line="196" w:lineRule="exact"/>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Kronos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143.6</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169.2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CompX</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BMI/LandWell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5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188.5</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to affiliates: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Contran - income taxes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LPC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Accrued sales discounts and rebates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litigation settlement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Environmental remediation and related costs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w:t>
            </w:r>
          </w:p>
        </w:tc>
        <w:tc>
          <w:tcPr>
            <w:tcW w:w="0" w:type="dxa"/>
            <w:vAlign w:val="bottom"/>
          </w:tcPr>
          <w:p>
            <w:pPr>
              <w:spacing w:after="0"/>
              <w:rPr>
                <w:sz w:val="1"/>
                <w:szCs w:val="1"/>
                <w:color w:val="auto"/>
              </w:rPr>
            </w:pPr>
          </w:p>
        </w:tc>
      </w:tr>
      <w:tr>
        <w:trPr>
          <w:trHeight w:val="209"/>
        </w:trPr>
        <w:tc>
          <w:tcPr>
            <w:tcW w:w="5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accrued litigation settlement is discussed in Note 15.</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Note 8 – Other noncurrent liabilities: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right"/>
              <w:ind w:right="910"/>
              <w:spacing w:after="0" w:line="196" w:lineRule="exact"/>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development costs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litigation settlement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Insurance claims and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Other postretirement benefits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Reserve for uncertain tax positions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0"/>
        </w:trPr>
        <w:tc>
          <w:tcPr>
            <w:tcW w:w="5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257.5</w:t>
            </w:r>
          </w:p>
        </w:tc>
        <w:tc>
          <w:tcPr>
            <w:tcW w:w="2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accrued litigation settlement is discussed in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 disaggregation of sales: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disaggregates the net sales of our Chemicals Segment by place of manufacture (point of origin) and to the location of the customer (point of destination), which are the categories that depict how the nature, amount, timing and uncertainty of revenue and cash flows are affected by economic factors.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millions)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 - point of origin:</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297.6</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330.3</w:t>
            </w:r>
          </w:p>
        </w:tc>
        <w:tc>
          <w:tcPr>
            <w:tcW w:w="6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787.5</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Canada</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105.1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Belgium</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Norway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459.6</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sales - point of destination: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1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197.5</w:t>
            </w:r>
          </w:p>
        </w:tc>
        <w:tc>
          <w:tcPr>
            <w:tcW w:w="6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182.5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459.6</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disaggregates the net sales of our Component Products and Real Estate Management and Development Segments by major product line.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millions)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Component Products: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Security products</w:t>
            </w:r>
          </w:p>
        </w:tc>
        <w:tc>
          <w:tcPr>
            <w:tcW w:w="8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Marine components</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Real Estate Management and Development:</w:t>
            </w: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Land sales</w:t>
            </w:r>
          </w:p>
        </w:tc>
        <w:tc>
          <w:tcPr>
            <w:tcW w:w="8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57.0</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Water delivery</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Utility and other</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Defined benefit pension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net periodic defined benefit pension cost are presented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940" w:type="dxa"/>
            <w:vAlign w:val="bottom"/>
          </w:tcPr>
          <w:p>
            <w:pPr>
              <w:spacing w:after="0"/>
              <w:rPr>
                <w:sz w:val="20"/>
                <w:szCs w:val="20"/>
                <w:color w:val="auto"/>
              </w:rPr>
            </w:pPr>
          </w:p>
        </w:tc>
        <w:tc>
          <w:tcPr>
            <w:tcW w:w="20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9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196"/>
        </w:trPr>
        <w:tc>
          <w:tcPr>
            <w:tcW w:w="4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gridSpan w:val="4"/>
          </w:tcPr>
          <w:p>
            <w:pPr>
              <w:jc w:val="right"/>
              <w:ind w:right="610"/>
              <w:spacing w:after="0" w:line="196" w:lineRule="exact"/>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(3.3)</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Recognized actuarial losses</w:t>
            </w:r>
          </w:p>
        </w:tc>
        <w:tc>
          <w:tcPr>
            <w:tcW w:w="7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r>
      <w:tr>
        <w:trPr>
          <w:trHeight w:val="210"/>
        </w:trPr>
        <w:tc>
          <w:tcPr>
            <w:tcW w:w="4940" w:type="dxa"/>
            <w:vAlign w:val="bottom"/>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r>
      <w:tr>
        <w:trPr>
          <w:trHeight w:val="20"/>
        </w:trPr>
        <w:tc>
          <w:tcPr>
            <w:tcW w:w="4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to contribute the equivalent of approximately $20 million to all of our defined benefit pension plans during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Note 11 – Other income, net:</w:t>
            </w:r>
          </w:p>
        </w:tc>
        <w:tc>
          <w:tcPr>
            <w:tcW w:w="2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7"/>
        </w:trPr>
        <w:tc>
          <w:tcPr>
            <w:tcW w:w="4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Nine months ended</w:t>
            </w:r>
          </w:p>
        </w:tc>
        <w:tc>
          <w:tcPr>
            <w:tcW w:w="980" w:type="dxa"/>
            <w:vAlign w:val="bottom"/>
          </w:tcPr>
          <w:p>
            <w:pPr>
              <w:spacing w:after="0"/>
              <w:rPr>
                <w:sz w:val="24"/>
                <w:szCs w:val="24"/>
                <w:color w:val="auto"/>
              </w:rPr>
            </w:pPr>
          </w:p>
        </w:tc>
      </w:tr>
      <w:tr>
        <w:trPr>
          <w:trHeight w:val="234"/>
        </w:trPr>
        <w:tc>
          <w:tcPr>
            <w:tcW w:w="4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r>
      <w:tr>
        <w:trPr>
          <w:trHeight w:val="196"/>
        </w:trPr>
        <w:tc>
          <w:tcPr>
            <w:tcW w:w="4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gridSpan w:val="4"/>
          </w:tcPr>
          <w:p>
            <w:pPr>
              <w:jc w:val="right"/>
              <w:ind w:right="229"/>
              <w:spacing w:after="0" w:line="196" w:lineRule="exact"/>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2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Interest and dividends</w:t>
            </w:r>
          </w:p>
        </w:tc>
        <w:tc>
          <w:tcPr>
            <w:tcW w:w="3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600" w:type="dxa"/>
            <w:vAlign w:val="bottom"/>
            <w:gridSpan w:val="2"/>
          </w:tcPr>
          <w:p>
            <w:pPr>
              <w:jc w:val="right"/>
              <w:ind w:right="46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transactions, net</w:t>
            </w:r>
          </w:p>
        </w:tc>
        <w:tc>
          <w:tcPr>
            <w:tcW w:w="2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10"/>
        </w:trPr>
        <w:tc>
          <w:tcPr>
            <w:tcW w:w="4320" w:type="dxa"/>
            <w:vAlign w:val="bottom"/>
          </w:tcPr>
          <w:p>
            <w:pPr>
              <w:ind w:left="44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reimbursement</w:t>
            </w:r>
          </w:p>
        </w:tc>
        <w:tc>
          <w:tcPr>
            <w:tcW w:w="2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Gain on land sales</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transactions, net</w:t>
            </w:r>
          </w:p>
        </w:tc>
        <w:tc>
          <w:tcPr>
            <w:tcW w:w="2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Insurance recoveries</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10"/>
        </w:trPr>
        <w:tc>
          <w:tcPr>
            <w:tcW w:w="4320" w:type="dxa"/>
            <w:vAlign w:val="bottom"/>
          </w:tcPr>
          <w:p>
            <w:pPr>
              <w:ind w:left="44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r>
      <w:tr>
        <w:trPr>
          <w:trHeight w:val="20"/>
        </w:trPr>
        <w:tc>
          <w:tcPr>
            <w:tcW w:w="4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nine months of 2021 we sold excess property not used in our operations for net proceeds of approximately $23.4 million and recognized a pre-tax gain of $16.0 million.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Infrastructure reimbursement </w:t>
      </w:r>
      <w:r>
        <w:rPr>
          <w:rFonts w:ascii="Arial" w:cs="Arial" w:eastAsia="Arial" w:hAnsi="Arial"/>
          <w:sz w:val="16"/>
          <w:szCs w:val="16"/>
          <w:color w:val="auto"/>
        </w:rPr>
        <w:t>– As disclosed in Note 7 to our 2021 Annual Report, under an Owner Participation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(“OPA”) entered into by LandWell with the Redevelopment Agency of the City of Henderson, Nevada, as LandWell develops certain real property for commercial and residential purposes in its master planned community in Henderson, Nevada, the cost of certain public infrastructure may be reimbursed to LandWell through tax increment. During the first nine months of 2021 and 2022, LandWell received approval for additional tax increment reimbursement of $6.2 million (all in the first quarter) and $10.0 million (all in the third quarter); respectively, which was recognized as other income and is evidenced by a promissory note issued to LandWell by the City of Henderson.</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LandWell also has an agreement with the energy utility providing electric power to the Cadence master planned community under which certain costs incurred for the development of power infrastructure may be reimbursed to LandWell. During the first nine months of 2022, LandWell received $.8 million (all in the second quarter) in reimbursement for past costs incurred.</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Insurance recoveries </w:t>
      </w:r>
      <w:r>
        <w:rPr>
          <w:rFonts w:ascii="Arial" w:cs="Arial" w:eastAsia="Arial" w:hAnsi="Arial"/>
          <w:sz w:val="16"/>
          <w:szCs w:val="16"/>
          <w:color w:val="auto"/>
        </w:rPr>
        <w:t>– On August 24, 2020, LPC temporarily halted production due to Hurricane Laura. Although storm</w:t>
      </w:r>
      <w:r>
        <w:rPr>
          <w:rFonts w:ascii="Arial" w:cs="Arial" w:eastAsia="Arial" w:hAnsi="Arial"/>
          <w:sz w:val="16"/>
          <w:szCs w:val="16"/>
          <w:i w:val="1"/>
          <w:iCs w:val="1"/>
          <w:color w:val="auto"/>
        </w:rPr>
        <w:t xml:space="preserve"> </w:t>
      </w:r>
      <w:r>
        <w:rPr>
          <w:rFonts w:ascii="Arial" w:cs="Arial" w:eastAsia="Arial" w:hAnsi="Arial"/>
          <w:sz w:val="16"/>
          <w:szCs w:val="16"/>
          <w:color w:val="auto"/>
        </w:rPr>
        <w:t>damage to core processing facilities was not extensive, a variety of factors, including loss of utilities and limited access and availability of employees and raw materials, prevented the resumption of operations until September 25, 2020. The majority of Kronos’ losses from property damage and its share of LPC’s lost production and other costs resulting from the disruption of operations were covered by insurance. Kronos recognized a gain of $2.7 million related to its business interruption claim in the third quarter of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Note 12 – Income taxes: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4"/>
              </w:rPr>
              <w:t>(In millions)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Expected tax expense at U.S. federal statutory income tax</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10.3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rate of 21%</w:t>
            </w:r>
          </w:p>
        </w:tc>
        <w:tc>
          <w:tcPr>
            <w:tcW w:w="5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Non-U.S. tax rates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Incremental net tax benefit on earnings and losses of U.S.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and non-U.S. tax group companies</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(3.5)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intangible low-tax income,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8"/>
              </w:rPr>
              <w:t>Adjustment to the reserve for uncertain tax positions,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state income taxes and other, net</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provision for income taxes allocable to:</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740" w:type="dxa"/>
            <w:vAlign w:val="bottom"/>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(3.0)</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plans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amount shown in the preceding table of our income tax rate reconciliation for non-U.S. tax rates represents the result determined by multiplying the pre-tax earnings or losses of each of our non-U.S. subsidiaries by the difference between the applicable statutory income tax rate for each non-U.S. jurisdiction and the U.S. federal statutory tax rate. The amount shown on such table for incremental net tax benefit on earnings and losses on non-U.S. and non-tax group companies includes, as applicable, (i) deferred income taxes (or deferred income tax benefits) associated with the current year earnings of all our Chemicals Segment’s non-U.S. subsidiaries,</w:t>
      </w:r>
    </w:p>
    <w:p>
      <w:pPr>
        <w:spacing w:after="0" w:line="2" w:lineRule="exact"/>
        <w:rPr>
          <w:sz w:val="20"/>
          <w:szCs w:val="20"/>
          <w:color w:val="auto"/>
        </w:rPr>
      </w:pPr>
    </w:p>
    <w:p>
      <w:pPr>
        <w:jc w:val="both"/>
        <w:ind w:firstLine="8"/>
        <w:spacing w:after="0" w:line="281" w:lineRule="auto"/>
        <w:tabs>
          <w:tab w:leader="none" w:pos="27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current U.S. income taxes (or current income tax benefit) including U.S. personal holding company tax, as applicable, attributable to current-year income (losses) of one of our Chemicals Segment’s non-U.S. subsidiaries, which subsidiary is treated as a dual resident for U.S. income tax purposes, to the extent the current year income (losses) of such subsidiary is subject to U.S. income tax under the U.S. dual-resident provisions of the Internal Revenue Code, (iii) deferred income taxes associated with our direct investment in Kronos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current and deferred income taxes associated with distributions and earnings from our investments in LandWell and BMI.</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2017 Tax Act limited our business interest expense to the sum of our business interest income and 30% of our adjusted taxable income as defined in the Tax Act. Any business interest expense not allowed as a deduction as a result of the limitation may be carried forward indefinitely. We previously determined our interest expense was limited under these provisions and we recorded deferred tax assets for the carryforwards associated with the nondeductible portion of our interest expense. We also concluded we were required to recognize a valuation allowance for such deferred tax asset under the more-likely-than-not recognition criteria. During the first nine months of 2022, we recognized an aggregate non-cash income tax benefit of $3.3 million as a reduction of the valuation allowance related to the utilization of a portion of the business interest expense carryforward.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16, 2022, the Inflation Reduction Act was signed into law. Among other things, this legislation provides for a 15% corporate alternative minimum tax on certain large corporations, imposes a 1% excise tax on qualifying stock buybacks occurring after December 31, 2022, and provides for certain energy-related tax credits. We have evaluated the relevant provisions of the Act and do not expect them to have a material impact on our tax provision.</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Tax authorities are examining certain of our U.S. and non-U.S. income tax returns and may propose tax deficiencies, including penalties and interest. We believe we have adequate accruals for additional taxes and related interest expense which could ultimately result from tax examinations. We believe the ultimate disposition of tax examinations should not have a material adverse effect on our consolidated financial position, results of operations or liquidity. We currently estimate that our unrecognized tax benefits will decrease by approximately $3.4 million during the next twelve months primarily due to the expiration of certain statutes of limitations.</w:t>
      </w:r>
    </w:p>
    <w:p>
      <w:pPr>
        <w:sectPr>
          <w:pgSz w:w="11900" w:h="16838" w:orient="portrait"/>
          <w:cols w:equalWidth="0" w:num="1">
            <w:col w:w="9920"/>
          </w:cols>
          <w:pgMar w:left="980" w:top="500" w:right="99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Note 13 – Noncontrolling interest in subsidiaries: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6"/>
          </w:tcPr>
          <w:p>
            <w:pPr>
              <w:jc w:val="center"/>
              <w:ind w:right="50"/>
              <w:spacing w:after="0" w:line="196" w:lineRule="exact"/>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net assets: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Kronos Worldwide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226.6</w:t>
            </w:r>
          </w:p>
        </w:tc>
        <w:tc>
          <w:tcPr>
            <w:tcW w:w="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225.1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NL Industries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CompX International</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BMI</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LandWell</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6"/>
          </w:tcPr>
          <w:p>
            <w:pPr>
              <w:jc w:val="center"/>
              <w:ind w:right="50"/>
              <w:spacing w:after="0" w:line="196" w:lineRule="exact"/>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net income of subsidiaries: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Kronos Worldwide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NL Industries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CompX International</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BMI</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LandWell</w:t>
            </w: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60" w:type="dxa"/>
            <w:vAlign w:val="bottom"/>
            <w:vMerge w:val="restart"/>
          </w:tcPr>
          <w:p>
            <w:pPr>
              <w:jc w:val="right"/>
              <w:ind w:right="147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Stockholders’ equity: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accumulated other comprehensive income (loss) attributable to Valhi</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are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0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0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2021</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millions)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Unrealized loss arising during the period</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arising during the period</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49"/>
        </w:trPr>
        <w:tc>
          <w:tcPr>
            <w:tcW w:w="4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w:t>
            </w:r>
          </w:p>
        </w:tc>
        <w:tc>
          <w:tcPr>
            <w:tcW w:w="3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w:t>
            </w:r>
          </w:p>
        </w:tc>
        <w:tc>
          <w:tcPr>
            <w:tcW w:w="0" w:type="dxa"/>
            <w:vAlign w:val="bottom"/>
          </w:tcPr>
          <w:p>
            <w:pPr>
              <w:spacing w:after="0"/>
              <w:rPr>
                <w:sz w:val="1"/>
                <w:szCs w:val="1"/>
                <w:color w:val="auto"/>
              </w:rPr>
            </w:pPr>
          </w:p>
        </w:tc>
      </w:tr>
      <w:tr>
        <w:trPr>
          <w:trHeight w:val="197"/>
        </w:trPr>
        <w:tc>
          <w:tcPr>
            <w:tcW w:w="49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(149.1)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(154.1)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660"/>
              <w:spacing w:after="0" w:line="201" w:lineRule="exact"/>
              <w:rPr>
                <w:sz w:val="20"/>
                <w:szCs w:val="20"/>
                <w:color w:val="auto"/>
              </w:rPr>
            </w:pPr>
            <w:r>
              <w:rPr>
                <w:rFonts w:ascii="Arial" w:cs="Arial" w:eastAsia="Arial" w:hAnsi="Arial"/>
                <w:sz w:val="18"/>
                <w:szCs w:val="18"/>
                <w:color w:val="auto"/>
              </w:rPr>
              <w:t>Amortization of prior service cost and net losses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included in net periodic pension cost</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20"/>
              <w:spacing w:after="0"/>
              <w:rPr>
                <w:sz w:val="20"/>
                <w:szCs w:val="20"/>
                <w:color w:val="auto"/>
              </w:rPr>
            </w:pPr>
            <w:r>
              <w:rPr>
                <w:rFonts w:ascii="Arial" w:cs="Arial" w:eastAsia="Arial" w:hAnsi="Arial"/>
                <w:sz w:val="18"/>
                <w:szCs w:val="18"/>
                <w:color w:val="auto"/>
              </w:rPr>
              <w:t>OPEB plans: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Amortization of prior service credit and net losses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included in net periodic OPEB cost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accumulated other comprehensive loss: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(212.1)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(219.4)</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(191.3)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10"/>
        </w:trPr>
        <w:tc>
          <w:tcPr>
            <w:tcW w:w="4900" w:type="dxa"/>
            <w:vAlign w:val="bottom"/>
          </w:tcPr>
          <w:p>
            <w:pPr>
              <w:ind w:left="4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(223.5)</w:t>
            </w:r>
          </w:p>
        </w:tc>
        <w:tc>
          <w:tcPr>
            <w:tcW w:w="3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During the first quarter of 2022, Kronos acquired 73,881 shares of its common stock in market transactions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purchase price of $1.1 million. At September 30, 2022, approximately 1.5 million shares were available for repurchase under Kronos’ prior repurchase authorizations.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second quarter of 2022, CompX acquired 78,900 shares of its Class A common stock for an aggregate amount of approximately $1.7 million. Of these shares, 70,000 shares were purchased in a market transaction, and 8,900 shares were purchased from two affiliates in two separate private transactions that were approved in advance by CompX’s independent directors. During the first quarter of 2021, CompX purchased 50,000 shares of its Class A common stock in a market transaction for approximately $.8 million. At September 30, 2022, approximately .5 million shares were available for purchase under CompX’s prior repurchase authorizations.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quarter of 2022, NL purchased 2,000 shares of its common stock from Kronos for a nominal amount in a private transaction that was approved in advance by NL’s independent directors.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pigment litigation – NL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NL’s former operations included the manufacture of lead pigments for use in paint and lead-based paint. NL, other former manufacturers of lead pigments for use in paint and lead-based paint (together, the “former pigment manufacturers”), and the Lead Industries Association (LIA), which discontinued business operations in 2002, have been named as defendants in various legal proceedings seeking damages for personal injury, property damage and governmental expenditures allegedly caused by the use of lead-based paints. Certain of these actions have been filed by or on behalf of states, counties, cities or their public housing authorities and school districts, and certain others have been asserted as class actions. These lawsuits seek recovery under a variety of theories, including public and private nuisance, negligent product design, negligent failure to warn, strict liability, breach of warranty, conspiracy/concert of action, aiding and abetting, enterprise liability, market share or risk contribution liability, intentional tort, fraud and misrepresentation, violations of state consumer protection statutes, supplier negligence and similar claims.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plaintiffs in these actions generally seek to impose on the defendants responsibility for lead paint abatement and health concerns associated with the use of lead-based paints, including damages for personal injury, contribution and/or indemnification for medical expenses, medical monitoring expenses and costs for educational programs. To the extent the plaintiffs seek compensatory or punitive damages in these actions, such damages are generally unspecified. In some cases, the damages are unspecified pursuant to the requirements of applicable state law. A number of cases are inactive or have been dismissed or withdrawn. Most of the remaining cases are in various pre-trial stages. Some are on appeal following dismissal or summary judgment rulings or a trial verdict in favor of either the defendants or the plaintiffs.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NL believes these actions are without merit, and intends to continue to deny all allegations of wrongdoing and liability and to defend against all actions vigorously. We do not believe it is probable we have incurred any liability with respect to pending lead pigment litigation cases to which NL is a party, and with respect to all such lead pigment litigation cases to which NL is a party, we believe liability to NL that may result, if any, in this regard cannot be reasonably estimated, because:</w:t>
      </w:r>
    </w:p>
    <w:p>
      <w:pPr>
        <w:spacing w:after="0" w:line="171" w:lineRule="exact"/>
        <w:rPr>
          <w:sz w:val="20"/>
          <w:szCs w:val="20"/>
          <w:color w:val="auto"/>
        </w:rPr>
      </w:pPr>
    </w:p>
    <w:p>
      <w:pPr>
        <w:jc w:val="both"/>
        <w:ind w:left="100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NL has never settled any of the market share, intentional tort, fraud, nuisance, supplier negligence, breach of warranty, conspiracy, misrepresentation, aiding and abetting, enterprise liability, or statutory cases (other than the Santa Clara case discussed below),</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final, non-appealable adverse judgments have ever been entered against NL, and</w:t>
      </w:r>
    </w:p>
    <w:p>
      <w:pPr>
        <w:spacing w:after="0" w:line="225"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NL has never ultimately been found liable with respect to any such litigation matters, including over 100 cases over a thirty-year period for which NL was previously a party and for which NL has been dismissed without any finding of liability</w:t>
      </w:r>
      <w:r>
        <w:rPr>
          <w:rFonts w:ascii="Arial" w:cs="Arial" w:eastAsia="Arial" w:hAnsi="Arial"/>
          <w:sz w:val="21"/>
          <w:szCs w:val="21"/>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we do not have any amounts accrued for any of the pending lead pigment and lead-based paint litigation cases filed by or on behalf of states, counties, cities or their public housing authorities and school districts, or those asserted as class actions. In addition, we have determined that liability to NL which may result, if any, cannot be reasonably estimated at this time because there is no prior history of a loss of this nature on which an estimate could be made and there is no substantive information available upon which an estimate could be based.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the terms of the </w:t>
      </w:r>
      <w:r>
        <w:rPr>
          <w:rFonts w:ascii="Arial" w:cs="Arial" w:eastAsia="Arial" w:hAnsi="Arial"/>
          <w:sz w:val="16"/>
          <w:szCs w:val="16"/>
          <w:i w:val="1"/>
          <w:iCs w:val="1"/>
          <w:color w:val="auto"/>
        </w:rPr>
        <w:t>County of Santa Clara v. Atlantic Richfield Company, et al.</w:t>
      </w:r>
      <w:r>
        <w:rPr>
          <w:rFonts w:ascii="Arial" w:cs="Arial" w:eastAsia="Arial" w:hAnsi="Arial"/>
          <w:sz w:val="16"/>
          <w:szCs w:val="16"/>
          <w:color w:val="auto"/>
        </w:rPr>
        <w:t xml:space="preserve"> (Superior Court of the State of California, County of Santa Clara, Case No. 1-00-CV-788657) global settlement agreement, NL has three annual installment payments remaining ($12.0 million for the next two installments and $16.7 million for the final installment). NL’s final installment will be made with funds already on deposit at the court, which are included in noncurrent restricted cash on our Condensed Consolidated Balance Sheets, that are committed to the settlement, including all accrued interest at the date of payment, with any remaining balance to be paid by NL (and any amounts on deposit in excess of the final payment would be returned to NL). See Note 18 to our 2021 Annual Report.</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New cases may continue to be filed against NL. We cannot assure you that we will not incur liability in the future with respect to any of the pending or possible litigation in view of the inherent uncertainties involved in court and jury rulings. In the future, if new information regarding such matters becomes available to us (such as a final, non-appealable adverse verdict against NL or otherwise ultimately being found liable with respect to such matters), at that time we would consider such information in evaluating any remaining cases then-pending against NL as to whether it might then have become probable we have incurred liability with respect to these matters, and whether such liability, if any, could have become reasonably estimable. The resolution of any of these cases could result in the</w:t>
      </w:r>
    </w:p>
    <w:p>
      <w:pPr>
        <w:sectPr>
          <w:pgSz w:w="11900" w:h="16838" w:orient="portrait"/>
          <w:cols w:equalWidth="0" w:num="1">
            <w:col w:w="9920"/>
          </w:cols>
          <w:pgMar w:left="980" w:top="517" w:right="99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recognition of a loss contingency accrual that could have a material adverse impact on our net income for the interim or annual period during which such liability is recognized and a material adverse impact on our consolidated financial condition and liquidity.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litigation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Our businesses have implemented and continue to implement various policies and programs in an effort to minimize these risks. Our policy is to maintain compliance with applicable environmental laws and regulations at all of our plants and to strive to improve environmental performance. From time to time, our businesses may be subject to environmental regulatory enforcement under U.S. and non-U.S. statutes, the resolution of which typically involves the establishment of compliance programs. It is possible that future developments, such as stricter requirements of environmental laws and enforcement policies, could adversely affect our production, handling, use, storage, transportation, sale or disposal of such substances. We believe all of our facilities are in substantial compliance with applicable environmental laws.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properties and facilities used in our former operations (primarily NL’s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and NL or its predecessors, our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we are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Obligations associated with environmental remediation and related matters are difficult to assess and estimate for numerous reasons including the:</w:t>
      </w:r>
    </w:p>
    <w:p>
      <w:pPr>
        <w:spacing w:after="0" w:line="170" w:lineRule="exact"/>
        <w:rPr>
          <w:sz w:val="20"/>
          <w:szCs w:val="20"/>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complexity and differing interpretations of governmental regulations,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PRPs and their ability or willingness to fund such allocation of costs,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capabilities of the PRPs and the allocation of costs among them,</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solvency of other PRPs,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multiplicity of possible solutions,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years of investigatory, remedial and monitoring activity required,</w:t>
      </w:r>
    </w:p>
    <w:p>
      <w:pPr>
        <w:spacing w:after="0" w:line="117"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over the extent, if any, to which our former operations might have contributed to the conditions allegedly giving rise to such personal injury, property damage, natural resource and related claims, and</w:t>
      </w:r>
    </w:p>
    <w:p>
      <w:pPr>
        <w:spacing w:after="0" w:line="62"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years between former operations and notice of claims and lack of information and documents about the former operations.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consolidated financial statements, results of operations and liquidity.</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record liabilities related to environmental remediation and related matters (including costs associated with damages for personal injury or property damage and/or damages for injury to natural resources) when estimated future expenditures are probable and</w:t>
      </w:r>
    </w:p>
    <w:p>
      <w:pPr>
        <w:sectPr>
          <w:pgSz w:w="11900" w:h="16838" w:orient="portrait"/>
          <w:cols w:equalWidth="0" w:num="1">
            <w:col w:w="9920"/>
          </w:cols>
          <w:pgMar w:left="980" w:top="517" w:right="999" w:bottom="1440" w:gutter="0" w:footer="0" w:header="0"/>
        </w:sectPr>
      </w:pP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the accrued environmental and related costs which we expect to pay within the next twelve months, and we classify this estimate as a current liability. We classify the remaining accrued environmental costs as a noncurrent liability.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a summary of the activity in our accrued environmental costs during the first nine months of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 charged to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Payments, net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the Consolidated Balance Sheet at the end of the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Noncurrent liabilities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951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0" w:lineRule="exact"/>
        <w:rPr>
          <w:sz w:val="20"/>
          <w:szCs w:val="20"/>
          <w:color w:val="auto"/>
        </w:rPr>
      </w:pPr>
    </w:p>
    <w:p>
      <w:pPr>
        <w:ind w:left="1121" w:hanging="1121"/>
        <w:spacing w:after="0"/>
        <w:tabs>
          <w:tab w:leader="none" w:pos="112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97.6</w:t>
      </w:r>
    </w:p>
    <w:p>
      <w:pPr>
        <w:spacing w:after="0" w:line="27" w:lineRule="exact"/>
        <w:rPr>
          <w:rFonts w:ascii="Arial" w:cs="Arial" w:eastAsia="Arial" w:hAnsi="Arial"/>
          <w:sz w:val="18"/>
          <w:szCs w:val="18"/>
          <w:b w:val="1"/>
          <w:bCs w:val="1"/>
          <w:color w:val="auto"/>
        </w:rPr>
      </w:pPr>
    </w:p>
    <w:p>
      <w:pPr>
        <w:ind w:left="1201"/>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951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1121" w:hanging="1121"/>
        <w:spacing w:after="0"/>
        <w:tabs>
          <w:tab w:leader="none" w:pos="112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951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1" w:lineRule="exact"/>
        <w:rPr>
          <w:sz w:val="20"/>
          <w:szCs w:val="20"/>
          <w:color w:val="auto"/>
        </w:rPr>
      </w:pPr>
    </w:p>
    <w:p>
      <w:pPr>
        <w:ind w:left="1201" w:hanging="1201"/>
        <w:spacing w:after="0"/>
        <w:tabs>
          <w:tab w:leader="none" w:pos="120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3.8</w:t>
      </w:r>
    </w:p>
    <w:p>
      <w:pPr>
        <w:spacing w:after="0" w:line="27" w:lineRule="exact"/>
        <w:rPr>
          <w:rFonts w:ascii="Arial" w:cs="Arial" w:eastAsia="Arial" w:hAnsi="Arial"/>
          <w:sz w:val="18"/>
          <w:szCs w:val="18"/>
          <w:b w:val="1"/>
          <w:bCs w:val="1"/>
          <w:color w:val="auto"/>
        </w:rPr>
      </w:pPr>
    </w:p>
    <w:p>
      <w:pPr>
        <w:ind w:left="1121"/>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951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1121" w:hanging="1121"/>
        <w:spacing w:after="0"/>
        <w:tabs>
          <w:tab w:leader="none" w:pos="112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9512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951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699" w:space="720"/>
            <w:col w:w="1501"/>
          </w:cols>
          <w:pgMar w:left="980" w:top="517" w:right="999" w:bottom="1440" w:gutter="0" w:footer="0" w:header="0"/>
          <w:type w:val="continuous"/>
        </w:sectPr>
      </w:pPr>
    </w:p>
    <w:p>
      <w:pPr>
        <w:spacing w:after="0" w:line="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NL – </w:t>
      </w:r>
      <w:r>
        <w:rPr>
          <w:rFonts w:ascii="Arial" w:cs="Arial" w:eastAsia="Arial" w:hAnsi="Arial"/>
          <w:sz w:val="17"/>
          <w:szCs w:val="17"/>
          <w:color w:val="auto"/>
        </w:rPr>
        <w:t>On a quarterly basis, NL evaluates the potential range of its liability for environmental remediation and related costs at</w:t>
      </w:r>
      <w:r>
        <w:rPr>
          <w:rFonts w:ascii="Arial" w:cs="Arial" w:eastAsia="Arial" w:hAnsi="Arial"/>
          <w:sz w:val="17"/>
          <w:szCs w:val="17"/>
          <w:i w:val="1"/>
          <w:iCs w:val="1"/>
          <w:color w:val="auto"/>
        </w:rPr>
        <w:t xml:space="preserve"> </w:t>
      </w:r>
      <w:r>
        <w:rPr>
          <w:rFonts w:ascii="Arial" w:cs="Arial" w:eastAsia="Arial" w:hAnsi="Arial"/>
          <w:sz w:val="17"/>
          <w:szCs w:val="17"/>
          <w:color w:val="auto"/>
        </w:rPr>
        <w:t>sites where it has been named as a PRP or defendant. At September 30, 2022, NL had accrued approximately $93 million related to approximately 32 sites associated with remediation and related matters it believes are at the present time and/or in their current phase reasonably estimable. The upper end of the range of reasonably possible costs to NL for remediation and related matters for which NL believes it is possible to estimate costs is approximately $107 million, including the amount currently accrued.</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NL believes that it is not reasonably possible to estimate the range of costs for certain sites. At September 30, 2022, there were approximately five sites for which NL is not currently able to reasonably estimate a range of costs. For these sites, generally the investigation is in the early stages, and NL is unable to determine whether or not NL actually had any association with the site, the nature of its responsibility, if any, for the contamination at the site, if any, and the extent of contamination at and cost to remediate the site. The timing and availability of information on these sites is dependent on events outside of NL’s control, such as when the party alleging liability provides information to NL. At certain of these previously inactive sites, NL has received general and special notices of liability from the EPA and/or state agencies alleging that NL, sometimes with other PRPs, is liable for past and future costs of remediating environmental contamination allegedly caused by former operations. These notifications may assert that NL, along with any other alleged PRPs, is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also accrued approximately $4 million at September 30, 2022 for other environmental cleanup matters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the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coverage claims – NL</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NL is involved in certain legal proceedings with a number of its former insurance carriers regarding the nature and extent of the carriers’ obligations to NL under insurance policies with respect to certain lead pigment and asbestos lawsuits. The issue of whether insurance coverage for defense costs or indemnity or both will be found to exist for NL’s lead pigment and asbestos litigation depends upon a variety of factors, and we cannot assure you that such insurance coverage will be available.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NL has agreements with certain of its former insurance carriers pursuant to which the carriers reimburse it for a portion of its future lead pigment litigation defense costs, and one such carrier reimburses NL for a portion of its future asbestos litigation defense costs. We are not able to determine how much NL will ultimately recover from these carriers for defense costs incurred by NL because of certain issues that arise regarding which defense costs qualify for reimbursement. While NL continues to seek additional insurance</w:t>
      </w:r>
    </w:p>
    <w:p>
      <w:pPr>
        <w:sectPr>
          <w:pgSz w:w="11900" w:h="16838" w:orient="portrait"/>
          <w:cols w:equalWidth="0" w:num="1">
            <w:col w:w="9920"/>
          </w:cols>
          <w:pgMar w:left="980" w:top="517" w:right="99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complete discussion of certain litigation involving NL and certain of its former insurance carriers, please refer to our 2021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litigation described above, we and our affiliates are also involved in various other environmental, contractual, product liability, patent (or intellectual property), employment and other claims and disputes incidental to our present and former businesses. In certain cases, we have insurance coverage for these items, although we do not expect additional material insurance coverage for our environmental matters. We currently believe the disposition of all of these various other claims and disputes (including asbestos-related claims), individually and in the aggregate, should not have a material adverse effect on our consolidated financial position, results of operations or liquidity beyond the accruals already provided.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financial instruments that are not carried at fair value but which require fair value disclosure: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 2022</w:t>
            </w:r>
          </w:p>
        </w:tc>
      </w:tr>
      <w:tr>
        <w:trPr>
          <w:trHeight w:val="191"/>
        </w:trPr>
        <w:tc>
          <w:tcPr>
            <w:tcW w:w="4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6"/>
                <w:szCs w:val="16"/>
                <w:color w:val="auto"/>
              </w:rPr>
            </w:pPr>
          </w:p>
        </w:tc>
        <w:tc>
          <w:tcPr>
            <w:tcW w:w="8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4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r>
      <w:tr>
        <w:trPr>
          <w:trHeight w:val="196"/>
        </w:trPr>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4"/>
          </w:tcPr>
          <w:p>
            <w:pPr>
              <w:jc w:val="right"/>
              <w:ind w:right="610"/>
              <w:spacing w:after="0" w:line="196" w:lineRule="exact"/>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Long-term debt (excluding capitalized leases):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Kronos Senior Notes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Valhi credit facility with Contran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LandWell bank note payable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r>
      <w:tr>
        <w:trPr>
          <w:trHeight w:val="234"/>
        </w:trPr>
        <w:tc>
          <w:tcPr>
            <w:tcW w:w="4440" w:type="dxa"/>
            <w:vAlign w:val="bottom"/>
          </w:tcPr>
          <w:p>
            <w:pPr>
              <w:ind w:left="220"/>
              <w:spacing w:after="0"/>
              <w:rPr>
                <w:sz w:val="20"/>
                <w:szCs w:val="20"/>
                <w:color w:val="auto"/>
              </w:rPr>
            </w:pPr>
            <w:r>
              <w:rPr>
                <w:rFonts w:ascii="Arial" w:cs="Arial" w:eastAsia="Arial" w:hAnsi="Arial"/>
                <w:sz w:val="18"/>
                <w:szCs w:val="18"/>
                <w:color w:val="auto"/>
              </w:rPr>
              <w:t>BWC bank note payable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September 30, 2022, the estimated market price of Kronos’ Senior Notes was €869 per €1,000 principal amount. The fair value of Kronos’ Senior Notes was based on quoted market prices; however, these quoted market prices represent Level 2 inputs because the markets in which the term loan trades were not active. The fair value of variable interest rate debt and other fixed-rate debt, which represents Level 2 inputs, is deemed to approximate carrying values. See Note 6. Due to their near-term maturities, the carrying amounts of accounts receivable and accounts payable are considered equivalent to fair value. See Notes 3 and 7.</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BWC is no longer consolidated in our Condensed Consolidated Financial Statements at September 30, 2022 (see Notes 2 and 6).</w:t>
      </w:r>
    </w:p>
    <w:p>
      <w:pPr>
        <w:spacing w:after="0" w:line="15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900" w:right="94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primarily a holding company. We operate through our wholly-owned and majority-owned subsidiaries, including NL Industries, Inc., Kronos Worldwide, Inc., CompX International Inc., Tremont LLC, Basic Management, Inc. (“BMI”) and the LandWell Company (“LandWell”). Kronos (NYSE: KRO), NL (NYSE: NL) and CompX (NYSE American: CIX) each file periodic reports with the SEC.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three consolidated reportable operating segments:</w:t>
      </w:r>
    </w:p>
    <w:p>
      <w:pPr>
        <w:spacing w:after="0" w:line="225" w:lineRule="exact"/>
        <w:rPr>
          <w:sz w:val="20"/>
          <w:szCs w:val="20"/>
          <w:color w:val="auto"/>
        </w:rPr>
      </w:pPr>
    </w:p>
    <w:p>
      <w:pPr>
        <w:jc w:val="both"/>
        <w:ind w:left="1000" w:hanging="317"/>
        <w:spacing w:after="0" w:line="22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Chemicals </w:t>
      </w:r>
      <w:r>
        <w:rPr>
          <w:rFonts w:ascii="Arial" w:cs="Arial" w:eastAsia="Arial" w:hAnsi="Arial"/>
          <w:sz w:val="18"/>
          <w:szCs w:val="18"/>
          <w:color w:val="auto"/>
        </w:rPr>
        <w:t>– Our Chemicals Segment is operated through our majority control of Kronos. Kronos is a leading global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producer and marketer of value-added titanium dioxide pigments (“TiO</w:t>
      </w:r>
      <w:r>
        <w:rPr>
          <w:rFonts w:ascii="Arial" w:cs="Arial" w:eastAsia="Arial" w:hAnsi="Arial"/>
          <w:sz w:val="26"/>
          <w:szCs w:val="26"/>
          <w:color w:val="auto"/>
          <w:vertAlign w:val="subscript"/>
        </w:rPr>
        <w:t>2</w:t>
      </w:r>
      <w:r>
        <w:rPr>
          <w:rFonts w:ascii="Arial" w:cs="Arial" w:eastAsia="Arial" w:hAnsi="Arial"/>
          <w:sz w:val="18"/>
          <w:szCs w:val="18"/>
          <w:color w:val="auto"/>
        </w:rPr>
        <w:t>”).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is used to impart whiteness, brightness, opacity and durability to a wide variety of products, including paints, plastics, paper, fibers and ceramics. Additionally,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is a critical component of everyday applications, such as coatings, plastics and paper, as well as many specialty products such as inks, foods and cosmetics.</w:t>
      </w:r>
    </w:p>
    <w:p>
      <w:pPr>
        <w:spacing w:after="0" w:line="97" w:lineRule="exact"/>
        <w:rPr>
          <w:rFonts w:ascii="Arial" w:cs="Arial" w:eastAsia="Arial" w:hAnsi="Arial"/>
          <w:sz w:val="18"/>
          <w:szCs w:val="18"/>
          <w:color w:val="auto"/>
        </w:rPr>
      </w:pPr>
    </w:p>
    <w:p>
      <w:pPr>
        <w:jc w:val="both"/>
        <w:ind w:left="1000" w:hanging="317"/>
        <w:spacing w:after="0" w:line="25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Component Products </w:t>
      </w:r>
      <w:r>
        <w:rPr>
          <w:rFonts w:ascii="Arial" w:cs="Arial" w:eastAsia="Arial" w:hAnsi="Arial"/>
          <w:sz w:val="18"/>
          <w:szCs w:val="18"/>
          <w:color w:val="auto"/>
        </w:rPr>
        <w:t>– We operate in the component products industry through our majority control of CompX. CompX is</w:t>
      </w:r>
      <w:r>
        <w:rPr>
          <w:rFonts w:ascii="Arial" w:cs="Arial" w:eastAsia="Arial" w:hAnsi="Arial"/>
          <w:sz w:val="18"/>
          <w:szCs w:val="18"/>
          <w:i w:val="1"/>
          <w:iCs w:val="1"/>
          <w:color w:val="auto"/>
        </w:rPr>
        <w:t xml:space="preserve"> </w:t>
      </w:r>
      <w:r>
        <w:rPr>
          <w:rFonts w:ascii="Arial" w:cs="Arial" w:eastAsia="Arial" w:hAnsi="Arial"/>
          <w:sz w:val="18"/>
          <w:szCs w:val="18"/>
          <w:color w:val="auto"/>
        </w:rPr>
        <w:t>a leading manufacturer of security products used in the recreational transportation, postal, office and institutional furniture, cabinetry, tool storage, healthcare and a variety of other industries. CompX also manufactures stainless steel exhaust systems, gauges, throttle controls, wake enhancement systems, trim tabs and related hardware and accessories for the recreational marine and other industries.</w:t>
      </w:r>
    </w:p>
    <w:p>
      <w:pPr>
        <w:spacing w:after="0" w:line="79" w:lineRule="exact"/>
        <w:rPr>
          <w:rFonts w:ascii="Arial" w:cs="Arial" w:eastAsia="Arial" w:hAnsi="Arial"/>
          <w:sz w:val="18"/>
          <w:szCs w:val="18"/>
          <w:color w:val="auto"/>
        </w:rPr>
      </w:pPr>
    </w:p>
    <w:p>
      <w:pPr>
        <w:jc w:val="both"/>
        <w:ind w:left="1000" w:hanging="317"/>
        <w:spacing w:after="0" w:line="279"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Real Estate Management and Development </w:t>
      </w:r>
      <w:r>
        <w:rPr>
          <w:rFonts w:ascii="Arial" w:cs="Arial" w:eastAsia="Arial" w:hAnsi="Arial"/>
          <w:sz w:val="17"/>
          <w:szCs w:val="17"/>
          <w:color w:val="auto"/>
        </w:rPr>
        <w:t>– We operate in real estate management and development through our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of BMI and LandWell. BMI owns real property in Henderson, Nevada and through its wholly-owned subsidiaries provides utility services to certain industrial and municipal customers. LandWell is engaged in efforts to develop certain land holdings for commercial, industrial and residential purposes in Henderson, Nevada.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94" w:lineRule="exact"/>
        <w:rPr>
          <w:sz w:val="20"/>
          <w:szCs w:val="20"/>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supply and demand for our products;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of the dependence of certain of our businesses on certain market sectors;</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cyclicality of certain of our businesses (such as Kronos’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operations);</w:t>
      </w:r>
    </w:p>
    <w:p>
      <w:pPr>
        <w:spacing w:after="0" w:line="132"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and producer inventory levels;</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or earlier-than-expected industry capacity expansion (such as the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industry);</w:t>
      </w:r>
    </w:p>
    <w:p>
      <w:pPr>
        <w:spacing w:after="0" w:line="132"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raw material and other operating costs (such as ore, zinc, brass, aluminum, steel and energy costs);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availability of raw materials (such as ore);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8"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harm the worldwide economy, disrupt our supply chain, increase material and energy costs, reduce demand or perceived demand for TiO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component products and land held for development or impair our ability to operate our facilities (including changes in the level of gross domestic product in various regions of the world, natural disasters, terrorist acts, global conflicts and public health crises such as COVID-19);</w:t>
      </w:r>
    </w:p>
    <w:p>
      <w:pPr>
        <w:spacing w:after="0" w:line="73" w:lineRule="exact"/>
        <w:rPr>
          <w:rFonts w:ascii="Arial" w:cs="Arial" w:eastAsia="Arial" w:hAnsi="Arial"/>
          <w:sz w:val="16"/>
          <w:szCs w:val="16"/>
          <w:color w:val="auto"/>
        </w:rPr>
      </w:pPr>
    </w:p>
    <w:p>
      <w:pPr>
        <w:jc w:val="both"/>
        <w:ind w:left="1000" w:right="20" w:hanging="317"/>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leaks, natural disasters, fires, explosions, unscheduled or unplanned downtime such as disruptions in energy supplies, transportation interruptions, cyber-attacks and public health crises such as COVID-19);</w:t>
      </w:r>
    </w:p>
    <w:p>
      <w:pPr>
        <w:spacing w:after="0" w:line="75"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products and substitute products;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and competitor strategies;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difficulties in upgrading or implementing accounting and manufacturing software systems;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consolidation of our competitors;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consolidation of our customers;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technology positions;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or defend intellectual property rights;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trade barriers or trade disputes;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subsidiaries to pay us dividends;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current or future government regulations (including employee healthcare benefit related regulations);</w:t>
      </w:r>
    </w:p>
    <w:p>
      <w:pPr>
        <w:spacing w:after="0" w:line="128" w:lineRule="exact"/>
        <w:rPr>
          <w:rFonts w:ascii="Arial" w:cs="Arial" w:eastAsia="Arial" w:hAnsi="Arial"/>
          <w:sz w:val="17"/>
          <w:szCs w:val="17"/>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new product development and the development of new product features;</w:t>
      </w:r>
    </w:p>
    <w:p>
      <w:pPr>
        <w:spacing w:after="0" w:line="117" w:lineRule="exact"/>
        <w:rPr>
          <w:rFonts w:ascii="Arial" w:cs="Arial" w:eastAsia="Arial" w:hAnsi="Arial"/>
          <w:sz w:val="18"/>
          <w:szCs w:val="18"/>
          <w:color w:val="auto"/>
        </w:rPr>
      </w:pPr>
    </w:p>
    <w:p>
      <w:pPr>
        <w:jc w:val="both"/>
        <w:ind w:left="1000" w:right="20" w:hanging="317"/>
        <w:spacing w:after="0" w:line="286"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p>
      <w:pPr>
        <w:spacing w:after="0" w:line="57" w:lineRule="exact"/>
        <w:rPr>
          <w:rFonts w:ascii="Arial" w:cs="Arial" w:eastAsia="Arial" w:hAnsi="Arial"/>
          <w:sz w:val="17"/>
          <w:szCs w:val="17"/>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amounts of insurance recoveries;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renew, amend, refinance or establish credit facilities;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increases in interest rates;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sufficient liquidity;</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ultimate outcome of income tax audits, tax settlement initiatives or other tax matters, including future tax reform;</w:t>
      </w:r>
    </w:p>
    <w:p>
      <w:pPr>
        <w:spacing w:after="0" w:line="128" w:lineRule="exact"/>
        <w:rPr>
          <w:rFonts w:ascii="Arial" w:cs="Arial" w:eastAsia="Arial" w:hAnsi="Arial"/>
          <w:sz w:val="17"/>
          <w:szCs w:val="17"/>
          <w:color w:val="auto"/>
        </w:rPr>
      </w:pPr>
    </w:p>
    <w:p>
      <w:pPr>
        <w:ind w:left="100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utilize income tax attributes, the benefits of which may or may not have been recognized under the more-likely-than-not recognition criteria;</w:t>
      </w:r>
    </w:p>
    <w:p>
      <w:pPr>
        <w:spacing w:after="0" w:line="62"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matters (such as those requiring compliance with emission and discharge standards for existing and new facilities, or new developments regarding environmental remediation or decommissioning obligations at sites related to our former operations);</w:t>
      </w:r>
    </w:p>
    <w:p>
      <w:pPr>
        <w:spacing w:after="0" w:line="75" w:lineRule="exact"/>
        <w:rPr>
          <w:rFonts w:ascii="Arial" w:cs="Arial" w:eastAsia="Arial" w:hAnsi="Arial"/>
          <w:sz w:val="18"/>
          <w:szCs w:val="18"/>
          <w:color w:val="auto"/>
        </w:rPr>
      </w:pPr>
    </w:p>
    <w:p>
      <w:pPr>
        <w:jc w:val="both"/>
        <w:ind w:left="1000" w:hanging="317"/>
        <w:spacing w:after="0" w:line="23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laws and regulations and possible changes therein (such as changes in government regulations which might impose various obligations on former manufacturers of lead pigment and lead-based paint, including NL, with respect to asserted health concerns associated with the use of such products) including new environmental health and safety regulations such as those seeking to limit or classify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or its use;</w:t>
      </w:r>
    </w:p>
    <w:p>
      <w:pPr>
        <w:spacing w:after="0" w:line="80"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ultimate resolution of pending litigation (such as NL’s lead pigment and environmental matters);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covenants contained in our revolving bank credit facilities;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and comply with the conditions of our licenses and permits;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real estate values and construction costs in Henderson, Nevada; and</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future litigation.</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Quarter Ended September 30, 2022 Compared to the Quarter Ended September 30, 2021 </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reported net income attributable to Valhi stockholders of $26.2 million or $.92 per diluted share in the third quarter of 2022 compared to net income of $39.0 million or $1.36 per diluted share in the third quarter of 2021. As discussed more fully below, our net income attributable to Valhi stockholders decreased from 2021 to 2022 primarily due to the net effects of:</w:t>
      </w:r>
    </w:p>
    <w:p>
      <w:pPr>
        <w:spacing w:after="0" w:line="165"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operating income from our Chemicals Segment in 2022 compared to 2021;</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recognition of a gain on the sale of land not used in our operations of $10.4 million in 2021;</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from tax increment infrastructure reimbursement of $10.0 million in 2022; and</w:t>
      </w:r>
    </w:p>
    <w:p>
      <w:pPr>
        <w:spacing w:after="0" w:line="117"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charges of $3.3 million in our Real Estate Management and Development Segment in 2022 related to the bankruptcy filing of BWC, including a $2.0 million loss recognized on the deconsolidation of BWC and $1.3 million of bad debt expense related to an intercompany receivable with BWC.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diluted net income per share in the third quarter of 2022 includes:</w:t>
      </w:r>
    </w:p>
    <w:p>
      <w:pPr>
        <w:spacing w:after="0" w:line="117"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of $.18 per share related to the tax increment infrastructure reimbursement;</w:t>
      </w:r>
    </w:p>
    <w:p>
      <w:pPr>
        <w:spacing w:after="0" w:line="117" w:lineRule="exact"/>
        <w:rPr>
          <w:rFonts w:ascii="Arial" w:cs="Arial" w:eastAsia="Arial" w:hAnsi="Arial"/>
          <w:sz w:val="18"/>
          <w:szCs w:val="18"/>
          <w:color w:val="auto"/>
        </w:rPr>
      </w:pPr>
    </w:p>
    <w:p>
      <w:pPr>
        <w:ind w:left="1000" w:right="20" w:hanging="317"/>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aggregate charges of $.06 per share related to the bankruptcy filing of BWC, including a $.04 per share loss recognized on the deconsolidation of BWC and $.02 per share of bad debt expense related to an intercompany receivable with BWC; and</w:t>
      </w:r>
    </w:p>
    <w:p>
      <w:pPr>
        <w:spacing w:after="0" w:line="15" w:lineRule="exact"/>
        <w:rPr>
          <w:rFonts w:ascii="Arial" w:cs="Arial" w:eastAsia="Arial" w:hAnsi="Arial"/>
          <w:sz w:val="16"/>
          <w:szCs w:val="16"/>
          <w:color w:val="auto"/>
        </w:rPr>
      </w:pPr>
    </w:p>
    <w:p>
      <w:pPr>
        <w:ind w:left="1000" w:right="2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gain of $.05 per share related to a business interruption insurance claim arising from Hurricane Laura in 2020 at our Chemicals Segment.</w:t>
      </w:r>
    </w:p>
    <w:p>
      <w:pPr>
        <w:spacing w:after="0" w:line="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diluted net income per share in the third quarter of 2021 includes a gain of $.28 per share related to the sale of land not used in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Nine Months Ended September 30, 2022 Compared to the Nine Months Ended September 30, 2021 </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reported net income attributable to Valhi stockholders of $99.6 million or $3.49 per diluted share in the first nine months of 2022 compared to $75.2 million or $2.64 per diluted share in the first nine months of 2021. As discussed more fully below, our net income attributable to Valhi stockholders increased from 2021 to 2022 primarily due to the net effects of:</w:t>
      </w:r>
    </w:p>
    <w:p>
      <w:pPr>
        <w:spacing w:after="0" w:line="184" w:lineRule="exact"/>
        <w:rPr>
          <w:sz w:val="20"/>
          <w:szCs w:val="20"/>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operating income from our Chemicals Segment in 2022 compared to 2021;</w:t>
      </w:r>
    </w:p>
    <w:p>
      <w:pPr>
        <w:spacing w:after="0" w:line="117" w:lineRule="exact"/>
        <w:rPr>
          <w:rFonts w:ascii="Arial" w:cs="Arial" w:eastAsia="Arial" w:hAnsi="Arial"/>
          <w:sz w:val="18"/>
          <w:szCs w:val="18"/>
          <w:color w:val="auto"/>
        </w:rPr>
      </w:pPr>
    </w:p>
    <w:p>
      <w:pPr>
        <w:jc w:val="both"/>
        <w:ind w:left="1000" w:hanging="317"/>
        <w:spacing w:after="0" w:line="279"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aggregate charges of $19.7 million in our Real Estate Management and Development Segment in 2022 related to BWC including $16.4 million (primarily in the second quarter) related to the impairment of the water delivery system fixed assets, a $2.0 million loss recognized on the deconsolidation of BWC, and $1.3 million of bad debt expense related to an intercompany receivable with BWC related to the bankruptcy filing of BWC in the third quarter;</w:t>
      </w:r>
    </w:p>
    <w:p>
      <w:pPr>
        <w:spacing w:after="0" w:line="63" w:lineRule="exact"/>
        <w:rPr>
          <w:rFonts w:ascii="Arial" w:cs="Arial" w:eastAsia="Arial" w:hAnsi="Arial"/>
          <w:sz w:val="17"/>
          <w:szCs w:val="17"/>
          <w:color w:val="auto"/>
        </w:rPr>
      </w:pPr>
    </w:p>
    <w:p>
      <w:pPr>
        <w:ind w:left="1000" w:hanging="31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recognition of a gain on the sale of land not used in our operations of $16.0 million in the first nine months of 2021;</w:t>
      </w:r>
    </w:p>
    <w:p>
      <w:pPr>
        <w:spacing w:after="0" w:line="128" w:lineRule="exact"/>
        <w:rPr>
          <w:rFonts w:ascii="Arial" w:cs="Arial" w:eastAsia="Arial" w:hAnsi="Arial"/>
          <w:sz w:val="17"/>
          <w:szCs w:val="17"/>
          <w:color w:val="auto"/>
        </w:rPr>
      </w:pPr>
    </w:p>
    <w:p>
      <w:pPr>
        <w:ind w:left="1000" w:hanging="31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income from tax increment infrastructure reimbursement of $10.0 million in 2022 compared to $6.2 million in 2021; and</w:t>
      </w:r>
    </w:p>
    <w:p>
      <w:pPr>
        <w:spacing w:after="0" w:line="128" w:lineRule="exact"/>
        <w:rPr>
          <w:rFonts w:ascii="Arial" w:cs="Arial" w:eastAsia="Arial" w:hAnsi="Arial"/>
          <w:sz w:val="17"/>
          <w:szCs w:val="17"/>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from infrastructure reimbursement of $.8 million in 2022 related to an energy utility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diluted net income per share in the first nine months of 2022 includes:</w:t>
      </w:r>
    </w:p>
    <w:p>
      <w:pPr>
        <w:spacing w:after="0" w:line="225" w:lineRule="exact"/>
        <w:rPr>
          <w:sz w:val="20"/>
          <w:szCs w:val="20"/>
          <w:color w:val="auto"/>
        </w:rPr>
      </w:pPr>
    </w:p>
    <w:p>
      <w:pPr>
        <w:jc w:val="both"/>
        <w:ind w:left="1000" w:hanging="317"/>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charges of $.35 per share related to the bankruptcy filing of BWC, including $.29 per share related to the impairment of the water delivery system fixed assets, $.04 per share loss recognized on the deconsolidation of BWC, and $.02 per share of bad debt expense related to an intercompany receivable with BWC;</w:t>
      </w:r>
    </w:p>
    <w:p>
      <w:pPr>
        <w:spacing w:after="0" w:line="7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of $.18 per share related to the tax increment infrastructure reimbursement;</w:t>
      </w:r>
    </w:p>
    <w:p>
      <w:pPr>
        <w:spacing w:after="0" w:line="117"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gain of $.05 per share related to a business interruption insurance claim arising from Hurricane Laura in 2020 at our Chemicals Segment; and</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of $.02 per share related to an energy utility infrastructure reimbursement.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diluted net income per share in the first nine months of 2021 includes:</w:t>
      </w:r>
    </w:p>
    <w:p>
      <w:pPr>
        <w:spacing w:after="0" w:line="117" w:lineRule="exact"/>
        <w:rPr>
          <w:sz w:val="20"/>
          <w:szCs w:val="20"/>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of $.11 per share related to the tax increment infrastructure reimbursement; and</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gain of $.43 per share related to the sale of land not used in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Forecast for 2022 </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currently expect to report lower consolidated income before income taxes for 2022 as compared to 2021 primarily due to the effects of:</w:t>
      </w:r>
    </w:p>
    <w:p>
      <w:pPr>
        <w:spacing w:after="0" w:line="170" w:lineRule="exact"/>
        <w:rPr>
          <w:sz w:val="20"/>
          <w:szCs w:val="20"/>
          <w:color w:val="auto"/>
        </w:rPr>
      </w:pPr>
    </w:p>
    <w:p>
      <w:pPr>
        <w:ind w:left="1000" w:right="20" w:hanging="31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operating income from our Real Estate Management and Development Segment in 2022 due to lower land sales revenues and the aggregate $19.7 million charges related to BWC noted above; and</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aggregate $16.0 million gain on land sales in 2021, which is not expected to recur.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 2022 Compared to 2021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Chemicals –</w:t>
      </w:r>
    </w:p>
    <w:p>
      <w:pPr>
        <w:spacing w:after="0" w:line="13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We consider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to be a “quality of life” product, with demand affected by gross domestic product, or GDP, and overall economic conditions in our markets located in various regions of the world. Over the long-term, we expect demand for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will grow by 2% to 3% per year, consistent with our expectations for the long-term growth in GDP. However, even if our Chemicals Segment and its competitors maintain consistent shares of the worldwide market, demand for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in any interim or annual period may not change in the same proportion as the change in GDP, in part due to relative changes in the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inventory levels of our Chemicals Segment’s customers. We believe our Chemicals Segment’s customers’ inventory levels are influenced in part by their expectations for future changes in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selling prices as well as their expectations for future availability of product. Although certain of our Chemicals Segment’s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grades are considered specialty pigments, the majority of its grades and substantially all of its production are considered commodity pigment products with price and availability being the most significant competitive factors along with product quality and customer and technical support services.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factors having the most impact on our Chemicals Segment’s reported operating results are:</w:t>
      </w:r>
    </w:p>
    <w:p>
      <w:pPr>
        <w:spacing w:after="0" w:line="129"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selling prices,</w:t>
      </w:r>
    </w:p>
    <w:p>
      <w:pPr>
        <w:spacing w:after="0" w:line="53"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Chemicals Segment’s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sales and production volumes,</w:t>
      </w:r>
    </w:p>
    <w:p>
      <w:pPr>
        <w:spacing w:after="0" w:line="119"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costs, particularly raw materials such as third-party feedstock, maintenance and energy-related expenses, and</w:t>
      </w:r>
    </w:p>
    <w:p>
      <w:pPr>
        <w:spacing w:after="0" w:line="62"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rates (particularly the exchange rates for the U.S. dollar relative to the euro, the Norwegian krone and the Canadian dollar and the euro relative to the Norwegian krone).</w:t>
      </w:r>
    </w:p>
    <w:p>
      <w:pPr>
        <w:spacing w:after="0" w:line="7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Key performance indicators are our Chemicals Segment’s TiO</w:t>
      </w:r>
      <w:r>
        <w:rPr>
          <w:rFonts w:ascii="Arial" w:cs="Arial" w:eastAsia="Arial" w:hAnsi="Arial"/>
          <w:sz w:val="23"/>
          <w:szCs w:val="23"/>
          <w:color w:val="auto"/>
          <w:vertAlign w:val="subscript"/>
        </w:rPr>
        <w:t>2</w:t>
      </w:r>
      <w:r>
        <w:rPr>
          <w:rFonts w:ascii="Arial" w:cs="Arial" w:eastAsia="Arial" w:hAnsi="Arial"/>
          <w:sz w:val="16"/>
          <w:szCs w:val="16"/>
          <w:color w:val="auto"/>
        </w:rPr>
        <w:t xml:space="preserve"> average selling prices, the level of TiO</w:t>
      </w:r>
      <w:r>
        <w:rPr>
          <w:rFonts w:ascii="Arial" w:cs="Arial" w:eastAsia="Arial" w:hAnsi="Arial"/>
          <w:sz w:val="23"/>
          <w:szCs w:val="23"/>
          <w:color w:val="auto"/>
          <w:vertAlign w:val="subscript"/>
        </w:rPr>
        <w:t>2</w:t>
      </w:r>
      <w:r>
        <w:rPr>
          <w:rFonts w:ascii="Arial" w:cs="Arial" w:eastAsia="Arial" w:hAnsi="Arial"/>
          <w:sz w:val="16"/>
          <w:szCs w:val="16"/>
          <w:color w:val="auto"/>
        </w:rPr>
        <w:t xml:space="preserve"> sales and production volumes, and the cost of our Chemicals Segment’s titanium-containing feedstock purchased from third parties. TiO</w:t>
      </w:r>
      <w:r>
        <w:rPr>
          <w:rFonts w:ascii="Arial" w:cs="Arial" w:eastAsia="Arial" w:hAnsi="Arial"/>
          <w:sz w:val="23"/>
          <w:szCs w:val="23"/>
          <w:color w:val="auto"/>
          <w:vertAlign w:val="subscript"/>
        </w:rPr>
        <w:t>2</w:t>
      </w:r>
      <w:r>
        <w:rPr>
          <w:rFonts w:ascii="Arial" w:cs="Arial" w:eastAsia="Arial" w:hAnsi="Arial"/>
          <w:sz w:val="16"/>
          <w:szCs w:val="16"/>
          <w:color w:val="auto"/>
        </w:rPr>
        <w:t xml:space="preserve"> selling prices generally follow industry trends and selling prices will increase or decrease generally as a result of competitive market pressures.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89"/>
              </w:rPr>
              <w:t>Three months ended September 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Change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gridSpan w:val="5"/>
          </w:tcPr>
          <w:p>
            <w:pPr>
              <w:jc w:val="right"/>
              <w:ind w:right="530"/>
              <w:spacing w:after="0" w:line="196" w:lineRule="exact"/>
              <w:rPr>
                <w:sz w:val="20"/>
                <w:szCs w:val="20"/>
                <w:color w:val="auto"/>
              </w:rPr>
            </w:pPr>
            <w:r>
              <w:rPr>
                <w:rFonts w:ascii="Arial" w:cs="Arial" w:eastAsia="Arial" w:hAnsi="Arial"/>
                <w:sz w:val="18"/>
                <w:szCs w:val="18"/>
                <w:b w:val="1"/>
                <w:bCs w:val="1"/>
                <w:color w:val="auto"/>
                <w:w w:val="92"/>
              </w:rPr>
              <w:t>(Dollars in millions)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gridSpan w:val="7"/>
          </w:tcPr>
          <w:p>
            <w:pPr>
              <w:jc w:val="right"/>
              <w:ind w:right="570"/>
              <w:spacing w:after="0" w:line="196" w:lineRule="exact"/>
              <w:rPr>
                <w:sz w:val="20"/>
                <w:szCs w:val="20"/>
                <w:color w:val="auto"/>
              </w:rPr>
            </w:pPr>
            <w:r>
              <w:rPr>
                <w:rFonts w:ascii="Arial" w:cs="Arial" w:eastAsia="Arial" w:hAnsi="Arial"/>
                <w:sz w:val="18"/>
                <w:szCs w:val="18"/>
                <w:b w:val="1"/>
                <w:bCs w:val="1"/>
                <w:color w:val="auto"/>
              </w:rPr>
              <w:t>(Dollars in millions)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1,443.4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1,587.8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376.0</w:t>
            </w: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1,116.7</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1,235.0</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r>
              <w:rPr>
                <w:rFonts w:ascii="Arial" w:cs="Arial" w:eastAsia="Arial" w:hAnsi="Arial"/>
                <w:sz w:val="18"/>
                <w:szCs w:val="18"/>
                <w:u w:val="single" w:color="auto"/>
                <w:color w:val="auto"/>
              </w:rPr>
              <w:t>7</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352.8</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3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60.3</w:t>
            </w:r>
          </w:p>
        </w:tc>
        <w:tc>
          <w:tcPr>
            <w:tcW w:w="26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34.3</w:t>
            </w:r>
          </w:p>
        </w:tc>
        <w:tc>
          <w:tcPr>
            <w:tcW w:w="2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145.4</w:t>
            </w: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189.9</w:t>
            </w: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Percent of net sales: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75 %</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82 %</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77 %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78 %</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operating statistics: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20"/>
              <w:spacing w:after="0"/>
              <w:rPr>
                <w:sz w:val="20"/>
                <w:szCs w:val="20"/>
                <w:color w:val="auto"/>
              </w:rPr>
            </w:pPr>
            <w:r>
              <w:rPr>
                <w:rFonts w:ascii="Arial" w:cs="Arial" w:eastAsia="Arial" w:hAnsi="Arial"/>
                <w:sz w:val="18"/>
                <w:szCs w:val="18"/>
                <w:color w:val="auto"/>
              </w:rPr>
              <w:t>Sales volumes*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Production volumes*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06"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color w:val="auto"/>
        </w:rPr>
        <w:t>Percent change in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net sales:</w:t>
      </w:r>
    </w:p>
    <w:p>
      <w:pPr>
        <w:ind w:left="220"/>
        <w:spacing w:after="0" w:line="218" w:lineRule="auto"/>
        <w:rPr>
          <w:sz w:val="20"/>
          <w:szCs w:val="20"/>
          <w:color w:val="auto"/>
        </w:rPr>
      </w:pPr>
      <w:r>
        <w:rPr>
          <w:rFonts w:ascii="Arial" w:cs="Arial" w:eastAsia="Arial" w:hAnsi="Arial"/>
          <w:sz w:val="18"/>
          <w:szCs w:val="18"/>
          <w:color w:val="auto"/>
        </w:rPr>
        <w:t>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product pricing</w:t>
      </w:r>
    </w:p>
    <w:p>
      <w:pPr>
        <w:ind w:left="220"/>
        <w:spacing w:after="0" w:line="184" w:lineRule="auto"/>
        <w:rPr>
          <w:sz w:val="20"/>
          <w:szCs w:val="20"/>
          <w:color w:val="auto"/>
        </w:rPr>
      </w:pPr>
      <w:r>
        <w:rPr>
          <w:rFonts w:ascii="Arial" w:cs="Arial" w:eastAsia="Arial" w:hAnsi="Arial"/>
          <w:sz w:val="18"/>
          <w:szCs w:val="18"/>
          <w:color w:val="auto"/>
        </w:rPr>
        <w:t>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sales volumes</w:t>
      </w:r>
    </w:p>
    <w:p>
      <w:pPr>
        <w:ind w:left="220"/>
        <w:spacing w:after="0" w:line="184" w:lineRule="auto"/>
        <w:rPr>
          <w:sz w:val="20"/>
          <w:szCs w:val="20"/>
          <w:color w:val="auto"/>
        </w:rPr>
      </w:pPr>
      <w:r>
        <w:rPr>
          <w:rFonts w:ascii="Arial" w:cs="Arial" w:eastAsia="Arial" w:hAnsi="Arial"/>
          <w:sz w:val="18"/>
          <w:szCs w:val="18"/>
          <w:color w:val="auto"/>
        </w:rPr>
        <w:t>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product mix/other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Changes in currency exchange rates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15684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2"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Thousands of metric tons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60" w:type="dxa"/>
            <w:vAlign w:val="bottom"/>
            <w:gridSpan w:val="2"/>
          </w:tcPr>
          <w:p>
            <w:pPr>
              <w:jc w:val="right"/>
              <w:ind w:right="2190"/>
              <w:spacing w:after="0"/>
              <w:rPr>
                <w:sz w:val="20"/>
                <w:szCs w:val="20"/>
                <w:color w:val="auto"/>
              </w:rPr>
            </w:pPr>
            <w:r>
              <w:rPr>
                <w:rFonts w:ascii="Arial" w:cs="Arial" w:eastAsia="Arial" w:hAnsi="Arial"/>
                <w:sz w:val="18"/>
                <w:szCs w:val="18"/>
                <w:color w:val="auto"/>
              </w:rPr>
              <w:t>21 %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30"/>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r>
      <w:tr>
        <w:trPr>
          <w:trHeight w:val="209"/>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40" w:type="dxa"/>
            <w:vAlign w:val="bottom"/>
          </w:tcPr>
          <w:p>
            <w:pPr>
              <w:jc w:val="right"/>
              <w:ind w:right="2190"/>
              <w:spacing w:after="0"/>
              <w:rPr>
                <w:sz w:val="20"/>
                <w:szCs w:val="20"/>
                <w:color w:val="auto"/>
              </w:rPr>
            </w:pPr>
            <w:r>
              <w:rPr>
                <w:rFonts w:ascii="Arial" w:cs="Arial" w:eastAsia="Arial" w:hAnsi="Arial"/>
                <w:sz w:val="18"/>
                <w:szCs w:val="18"/>
                <w:color w:val="auto"/>
                <w:w w:val="8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-3523615</wp:posOffset>
            </wp:positionH>
            <wp:positionV relativeFrom="paragraph">
              <wp:posOffset>-890905</wp:posOffset>
            </wp:positionV>
            <wp:extent cx="62922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-599440</wp:posOffset>
            </wp:positionV>
            <wp:extent cx="629221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-307975</wp:posOffset>
            </wp:positionV>
            <wp:extent cx="629221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4840" w:space="720"/>
            <w:col w:w="4360"/>
          </w:cols>
          <w:pgMar w:left="980" w:top="517" w:right="999" w:bottom="1440" w:gutter="0" w:footer="0" w:header="0"/>
          <w:type w:val="continuous"/>
        </w:sect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Current Industry Conditions </w:t>
      </w:r>
      <w:r>
        <w:rPr>
          <w:rFonts w:ascii="Arial" w:cs="Arial" w:eastAsia="Arial" w:hAnsi="Arial"/>
          <w:sz w:val="16"/>
          <w:szCs w:val="16"/>
          <w:color w:val="auto"/>
        </w:rPr>
        <w:t>– Our Chemicals Segment started 2022 with average TiO</w:t>
      </w:r>
      <w:r>
        <w:rPr>
          <w:rFonts w:ascii="Arial" w:cs="Arial" w:eastAsia="Arial" w:hAnsi="Arial"/>
          <w:sz w:val="20"/>
          <w:szCs w:val="20"/>
          <w:color w:val="auto"/>
          <w:vertAlign w:val="subscript"/>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prices 16% higher than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2021 and average TiO</w:t>
      </w:r>
      <w:r>
        <w:rPr>
          <w:rFonts w:ascii="Arial" w:cs="Arial" w:eastAsia="Arial" w:hAnsi="Arial"/>
          <w:sz w:val="20"/>
          <w:szCs w:val="20"/>
          <w:color w:val="auto"/>
          <w:vertAlign w:val="subscript"/>
        </w:rPr>
        <w:t>2</w:t>
      </w:r>
      <w:r>
        <w:rPr>
          <w:rFonts w:ascii="Arial" w:cs="Arial" w:eastAsia="Arial" w:hAnsi="Arial"/>
          <w:sz w:val="16"/>
          <w:szCs w:val="16"/>
          <w:color w:val="auto"/>
        </w:rPr>
        <w:t xml:space="preserve"> selling prices increased 15% in the first nine months of 2022 in response to our Chemicals Segment’s rising production costs. Overall our Chemicals Segment’s sales volumes declined in the first nine months of 2022 compared to the first nine months of 2021 primarily due to demand contraction in European and export markets, particularly in the third quarter.</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shows our Chemicals Segment’s capacity utilization rates during 2021 and 2022. Throughout most of 2021 and continuing into the first quarter of 2022, our Chemicals Segment’s production facilities operated at full practical capacity. Our Chemicals Segment operated its production facilities at 96% of practical capacity utilization in the first nine months of 2022 compared to approximately 99% in the first nine months of 2021. During the third quarter of 2022, our Chemicals Segment operated its facilities at approximately 93% of practical capacity primarily due to maintenance activities and alignment of its production and inventory levels to anticipated near-term customer demand which reduced its production rates.</w:t>
      </w:r>
    </w:p>
    <w:p>
      <w:pPr>
        <w:spacing w:after="0" w:line="9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Production Capacity Utilization Rates</w:t>
      </w:r>
    </w:p>
    <w:p>
      <w:pPr>
        <w:spacing w:after="0" w:line="27" w:lineRule="exact"/>
        <w:rPr>
          <w:sz w:val="20"/>
          <w:szCs w:val="20"/>
          <w:color w:val="auto"/>
        </w:rPr>
      </w:pPr>
    </w:p>
    <w:tbl>
      <w:tblPr>
        <w:tblLayout w:type="fixed"/>
        <w:tblInd w:w="1900" w:type="dxa"/>
        <w:tblCellMar>
          <w:top w:w="0" w:type="dxa"/>
          <w:left w:w="0" w:type="dxa"/>
          <w:bottom w:w="0" w:type="dxa"/>
          <w:right w:w="0" w:type="dxa"/>
        </w:tblCellMar>
      </w:tblPr>
      <w:tr>
        <w:trPr>
          <w:trHeight w:val="246"/>
        </w:trPr>
        <w:tc>
          <w:tcPr>
            <w:tcW w:w="264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FF0FC"/>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41"/>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6"/>
        </w:trPr>
        <w:tc>
          <w:tcPr>
            <w:tcW w:w="3600" w:type="dxa"/>
            <w:vAlign w:val="bottom"/>
            <w:gridSpan w:val="2"/>
            <w:shd w:val="clear" w:color="auto" w:fill="CAF0FC"/>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AF0FC"/>
          </w:tcPr>
          <w:p>
            <w:pPr>
              <w:jc w:val="right"/>
              <w:spacing w:after="0"/>
              <w:rPr>
                <w:sz w:val="20"/>
                <w:szCs w:val="20"/>
                <w:color w:val="auto"/>
              </w:rPr>
            </w:pPr>
            <w:r>
              <w:rPr>
                <w:rFonts w:ascii="Arial" w:cs="Arial" w:eastAsia="Arial" w:hAnsi="Arial"/>
                <w:sz w:val="18"/>
                <w:szCs w:val="18"/>
                <w:color w:val="auto"/>
                <w:w w:val="99"/>
              </w:rPr>
              <w:t>100%</w:t>
            </w:r>
          </w:p>
        </w:tc>
        <w:tc>
          <w:tcPr>
            <w:tcW w:w="280" w:type="dxa"/>
            <w:vAlign w:val="bottom"/>
            <w:shd w:val="clear" w:color="auto" w:fill="CAF0FC"/>
          </w:tcPr>
          <w:p>
            <w:pPr>
              <w:spacing w:after="0"/>
              <w:rPr>
                <w:sz w:val="22"/>
                <w:szCs w:val="22"/>
                <w:color w:val="auto"/>
              </w:rPr>
            </w:pPr>
          </w:p>
        </w:tc>
        <w:tc>
          <w:tcPr>
            <w:tcW w:w="1480" w:type="dxa"/>
            <w:vAlign w:val="bottom"/>
            <w:shd w:val="clear" w:color="auto" w:fill="CAF0FC"/>
          </w:tcPr>
          <w:p>
            <w:pPr>
              <w:jc w:val="right"/>
              <w:spacing w:after="0"/>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Due to significant increases in production costs (primarily energy and feedstock), our Chemicals Segment’s cost of sales per metric ton of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sold in the third quarter and first nine months of 2022 was higher as compared to the comparable periods in 2021 (excluding the effect of changes in currency exchange rates).</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 Our Chemicals Segment’s net sales in the third quarter of 2022 decreased 8%, or $40.2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of 2021 primarily due to the net effect of a 21% increase in average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selling prices (which increased net sales by approximately $105 million), a 20% decrease in sales volumes (which decreased net sales by approximately $100 million) and changes in currency exchange rates (primarily the euro) which we estimate decreased our Chemicals Segment’s net sales by approximately $31 million. TiO</w:t>
      </w:r>
      <w:r>
        <w:rPr>
          <w:rFonts w:ascii="Arial" w:cs="Arial" w:eastAsia="Arial" w:hAnsi="Arial"/>
          <w:sz w:val="25"/>
          <w:szCs w:val="25"/>
          <w:color w:val="auto"/>
          <w:vertAlign w:val="subscript"/>
        </w:rPr>
        <w:t>2</w:t>
      </w:r>
      <w:r>
        <w:rPr>
          <w:rFonts w:ascii="Arial" w:cs="Arial" w:eastAsia="Arial" w:hAnsi="Arial"/>
          <w:sz w:val="17"/>
          <w:szCs w:val="17"/>
          <w:color w:val="auto"/>
        </w:rPr>
        <w:t xml:space="preserve"> selling prices will increase or decrease generally as a result of competitive market pressures, changes in the relative level of supply and demand as well as changes in raw material and other manufacturing costs.</w:t>
      </w:r>
    </w:p>
    <w:p>
      <w:pPr>
        <w:sectPr>
          <w:pgSz w:w="11900" w:h="16838" w:orient="portrait"/>
          <w:cols w:equalWidth="0" w:num="1">
            <w:col w:w="9920"/>
          </w:cols>
          <w:pgMar w:left="980" w:top="517" w:right="999" w:bottom="1440" w:gutter="0" w:footer="0" w:header="0"/>
          <w:type w:val="continuous"/>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Chemicals Segment’s sales volumes decreased 20% in the third quarter of 2022 as compared to the third quarter of 2021 primarily due to lower demand from European customers which our Chemicals Segment began experiencing towards the end of the second quarter and accelerated during the third quarter. Our Chemicals Segment also experienced lower sales volumes in its North American and export markets during the third quarter.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7"/>
          <w:szCs w:val="17"/>
          <w:color w:val="auto"/>
        </w:rPr>
        <w:t>Our Chemicals Segment’s net sales in the first nine months of 2022 increased 10%, or $144.4 million, compared to the first nine months of 2021 primarily due to the net effect of a 24% increase in average TiO</w:t>
      </w:r>
      <w:r>
        <w:rPr>
          <w:rFonts w:ascii="Arial" w:cs="Arial" w:eastAsia="Arial" w:hAnsi="Arial"/>
          <w:sz w:val="21"/>
          <w:szCs w:val="21"/>
          <w:color w:val="auto"/>
          <w:vertAlign w:val="subscript"/>
        </w:rPr>
        <w:t>2</w:t>
      </w:r>
      <w:r>
        <w:rPr>
          <w:rFonts w:ascii="Arial" w:cs="Arial" w:eastAsia="Arial" w:hAnsi="Arial"/>
          <w:sz w:val="17"/>
          <w:szCs w:val="17"/>
          <w:color w:val="auto"/>
        </w:rPr>
        <w:t xml:space="preserve"> selling prices (which increased net sales by approximately $346 million) and a 7% decrease in sales volumes (which decreased net sales by $101 million). We estimate that changes in currency exchange rates (primarily the euro) decreased our Chemicals Segment’s net sales by approximately $83 million in the first nine months of 2022 as compared to the first nine months of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Chemicals Segment’s sales volumes decreased 7% in the first nine months of 2022 as compared to the first nine months of 2021 primarily due to lower demand from European and export customers, with a significant portion of the decrease occurring in the third quarter.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Cost of Sales and Gross Margin </w:t>
      </w:r>
      <w:r>
        <w:rPr>
          <w:rFonts w:ascii="Arial" w:cs="Arial" w:eastAsia="Arial" w:hAnsi="Arial"/>
          <w:sz w:val="18"/>
          <w:szCs w:val="18"/>
          <w:color w:val="auto"/>
        </w:rPr>
        <w:t>– Our Chemicals Segment’s cost of sales as a percentage of net sales increased to 82%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2022 compared to 75% in the same period of 2021 primarily due to the net effects of higher production costs of approximately $91 million (primarily raw materials and energy), a 20% decrease in sales volumes and lower absorption of fixed costs due to a 5% decrease in production volumes.</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Our Chemicals Segment’s gross margin as a percentage of net sales decreased to 18% in the third quarter of 2022 compared to 25% in the third quarter of 2021. As discussed and quantified above, our Chemicals Segment’s gross margin as a percentage of net sales decreased primarily due to the net effects of higher production costs, lower production and sales volumes, higher average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selling prices and changes in currency exchange rates.</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Chemicals Segment’s cost of sales increased $118.3 million, or 11%, in the first nine months of 2022 compared to the first nine months of 2021 primarily due to the net effects of higher production costs of approximately $250 million (including higher costs for raw materials and energy), a 7% decrease in sales volumes and the positive impact from changes in currency exchange rates. Our Chemicals Segment’s cost of sales as a percentage of net sales increased to 78% in the first nine months of 2022 compared to 77% in the same period of 2021 due to the impact of higher production costs, including higher raw material and energy costs partially offset by the favorable effects of higher average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selling prices.</w:t>
      </w:r>
    </w:p>
    <w:p>
      <w:pPr>
        <w:spacing w:after="0" w:line="19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Our Chemicals Segment’s gross margin as a percentage of net sales decreased to 22% in the first nine months of 2022 compared to 23% in the first nine months of 2021. As discussed and quantified above, our Chemicals Segment’s gross margin as a percentage of net sales decreased primarily due to the net effects of higher raw material and energy costs, higher average TiO</w:t>
      </w:r>
      <w:r>
        <w:rPr>
          <w:rFonts w:ascii="Arial" w:cs="Arial" w:eastAsia="Arial" w:hAnsi="Arial"/>
          <w:sz w:val="26"/>
          <w:szCs w:val="26"/>
          <w:color w:val="auto"/>
          <w:vertAlign w:val="subscript"/>
        </w:rPr>
        <w:t>2</w:t>
      </w:r>
      <w:r>
        <w:rPr>
          <w:rFonts w:ascii="Arial" w:cs="Arial" w:eastAsia="Arial" w:hAnsi="Arial"/>
          <w:sz w:val="18"/>
          <w:szCs w:val="18"/>
          <w:color w:val="auto"/>
        </w:rPr>
        <w:t xml:space="preserve"> selling prices, lower sales volumes, and changes in currency exchange rates.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Our Chemicals Segment’s operating income decreased by $26.0 million, or 43%,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the third quarter of 2021. Operating income as a percentage of net sales decreased to 7% in the third quarter of 2022 from 12% in the same period of 2021 as a result of the factors impacting gross margin discussed above. Our Chemicals Segment recognized a gain of $2.7 million in the third quarter of 2022 related to cash received from the settlement of a business interruption insurance claim. We estimate changes in currency exchange rates increased our Chemicals Segment’s operating income by approximately $13 million in the third quarter of 2022 as compared to the same period in 2021, as discussed in the Currency Exchange Rates section below.</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Chemicals Segment’s operating income increased by $44.5 million, or 31% in the first nine months of 2022 compared to the first nine months of 2021. Operating income as a percentage of net sales increased to 12% in the first nine months of 2022 from 10% in the same period of 2021. This increase was driven by the effects of higher net sales on gross margin (discussed above) and selling, general and administrative expenses. Our Chemicals Segment recognized a gain of $2.7 million in the first nine months of 2022 related to cash received from the settlement of a business interruption insurance claim. We estimate that changes in currency exchange rates increased our Chemicals Segment’s operating income by approximately $21 million in the first nine months of 2022 as compared to the same period in 2021.</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Chemicals Segment’s operating income is net of amortization of purchase accounting adjustments made in conjunction with our acquisitions of interests in NL and Kronos. As a result, we recognize additional depreciation expense above the amounts Kronos</w:t>
      </w:r>
    </w:p>
    <w:p>
      <w:pPr>
        <w:sectPr>
          <w:pgSz w:w="11900" w:h="16838" w:orient="portrait"/>
          <w:cols w:equalWidth="0" w:num="1">
            <w:col w:w="9920"/>
          </w:cols>
          <w:pgMar w:left="980" w:top="517" w:right="999" w:bottom="1440" w:gutter="0" w:footer="0" w:header="0"/>
        </w:sectPr>
      </w:pP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reports separately, substantially all of which is included within cost of sales. We recognized additional depreciation expense of $1.0 million in the first nine months of 2022 and $1.1 million in the same period of 2021, which reduced our reported Chemicals Segment’s operating income as compared to amounts reported by Kronos.</w:t>
      </w:r>
    </w:p>
    <w:p>
      <w:pPr>
        <w:spacing w:after="0" w:line="1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Currency Exchange Rates </w:t>
      </w:r>
      <w:r>
        <w:rPr>
          <w:rFonts w:ascii="Arial" w:cs="Arial" w:eastAsia="Arial" w:hAnsi="Arial"/>
          <w:sz w:val="17"/>
          <w:szCs w:val="17"/>
          <w:color w:val="auto"/>
        </w:rPr>
        <w:t>– Our Chemicals Segment has substantial operations and assets located outside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in Germany, Belgium, Norway and Canada). The majority of our Chemicals Segment’s sales from non-U.S. operations are denominated in currencies other than the U.S. dollar, principally the euro, other major European currencies and the Canadian dollar. A portion of our Chemicals Segment’s sales generated from its non-U.S. operations is denominated in the U.S. dollar (and consequently our Chemicals Segment’s non-U.S. operations will generally hold U.S. dollars from time to time). Certain raw materials used in all our Chemicals Segment’s production facilities, primarily titanium-containing feedstocks, are purchased primarily in U.S. dollars, while labor and other production and administrative costs are incurred primarily in local currencies. Consequently, the translated U.S. dollar value of our Chemicals Segment’s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our Chemicals Segment’s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and (ii) changes in currency exchange rates during time periods when our Chemicals Segment’s non-U.S. operations are holding non-local currency (primarily U.S. dollars).</w:t>
      </w:r>
    </w:p>
    <w:p>
      <w:pPr>
        <w:spacing w:after="0" w:line="14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Overall, we estimate that fluctuations in currency exchange rates had the following effects on the reported amounts of our Chemicals Segment’s sales and operating income for the periods indicated.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changes in currency exchange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2022 vs 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Translation</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gains/(losses) -</w:t>
            </w: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currency</w:t>
            </w:r>
          </w:p>
        </w:tc>
      </w:tr>
      <w:tr>
        <w:trPr>
          <w:trHeight w:val="234"/>
        </w:trPr>
        <w:tc>
          <w:tcPr>
            <w:tcW w:w="2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7"/>
              </w:rPr>
              <w:t>Transaction gains recognized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impact of</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impact</w:t>
            </w:r>
          </w:p>
        </w:tc>
      </w:tr>
      <w:tr>
        <w:trPr>
          <w:trHeight w:val="210"/>
        </w:trPr>
        <w:tc>
          <w:tcPr>
            <w:tcW w:w="2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Change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rate changes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2022 vs 2021</w:t>
            </w:r>
          </w:p>
        </w:tc>
      </w:tr>
      <w:tr>
        <w:trPr>
          <w:trHeight w:val="196"/>
        </w:trPr>
        <w:tc>
          <w:tcPr>
            <w:tcW w:w="2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5"/>
              </w:rPr>
              <w:t>(In millions)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on:</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Net sales</w:t>
            </w:r>
          </w:p>
        </w:tc>
        <w:tc>
          <w:tcPr>
            <w:tcW w:w="19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$31 million decrease in our Chemicals Segment’s net sales (translation losses) was caused primarily by a strengthening of the U.S. dollar relative to the euro, as its euro-denominated sales were translated into fewer U.S. dollars in 2022 as compared to 2021. The strengthening of the U.S. dollar relative to the Canadian dollar and the Norwegian krone in 2022 did not have a significant effect on the reported amount of our Chemicals Segment’s net sales, as a substantial portion of the sales generated by our Chemicals Segment’s Canadian and Norwegian operations is denominated in the U.S. dollar.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$13 million increase in our Chemicals Segment’s operating income was comprised of the following:</w:t>
      </w:r>
    </w:p>
    <w:p>
      <w:pPr>
        <w:spacing w:after="0" w:line="185" w:lineRule="exact"/>
        <w:rPr>
          <w:sz w:val="20"/>
          <w:szCs w:val="20"/>
          <w:color w:val="auto"/>
        </w:rPr>
      </w:pPr>
    </w:p>
    <w:p>
      <w:pPr>
        <w:jc w:val="both"/>
        <w:ind w:left="1000" w:hanging="317"/>
        <w:spacing w:after="0" w:line="255"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net currency transaction gains of approximately $6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and</w:t>
      </w:r>
    </w:p>
    <w:p>
      <w:pPr>
        <w:spacing w:after="0" w:line="151" w:lineRule="exact"/>
        <w:rPr>
          <w:rFonts w:ascii="Arial" w:cs="Arial" w:eastAsia="Arial" w:hAnsi="Arial"/>
          <w:sz w:val="18"/>
          <w:szCs w:val="18"/>
          <w:color w:val="auto"/>
        </w:rPr>
      </w:pPr>
    </w:p>
    <w:p>
      <w:pPr>
        <w:jc w:val="both"/>
        <w:ind w:left="1000" w:hanging="317"/>
        <w:spacing w:after="0" w:line="25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$7 million from net currency translation gains primarily caused by a strengthening of the U.S. dollar relative to the Canadian dollar and Norwegian krone, as our Chemicals Segment’s local currency-denominated operating costs were translated into fewer U.S. dollars in 2022 as compared to 2021. Net currency translation gains and losses caused by a strengthening of the U.S. dollar relative to the euro had minimal impact on translation gains and losses in 2022 as compared to 2021.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changes in currency exchange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2022 vs 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Translation</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gains/(losses) -</w:t>
            </w: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currency</w:t>
            </w:r>
          </w:p>
        </w:tc>
      </w:tr>
      <w:tr>
        <w:trPr>
          <w:trHeight w:val="234"/>
        </w:trPr>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80" w:type="dxa"/>
            <w:vAlign w:val="bottom"/>
            <w:gridSpan w:val="9"/>
          </w:tcPr>
          <w:p>
            <w:pPr>
              <w:jc w:val="center"/>
              <w:ind w:right="160"/>
              <w:spacing w:after="0"/>
              <w:rPr>
                <w:sz w:val="20"/>
                <w:szCs w:val="20"/>
                <w:color w:val="auto"/>
              </w:rPr>
            </w:pPr>
            <w:r>
              <w:rPr>
                <w:rFonts w:ascii="Arial" w:cs="Arial" w:eastAsia="Arial" w:hAnsi="Arial"/>
                <w:sz w:val="18"/>
                <w:szCs w:val="18"/>
                <w:b w:val="1"/>
                <w:bCs w:val="1"/>
                <w:color w:val="auto"/>
                <w:w w:val="87"/>
              </w:rPr>
              <w:t>Transaction gains recognized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impact of</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impact</w:t>
            </w:r>
          </w:p>
        </w:tc>
      </w:tr>
      <w:tr>
        <w:trPr>
          <w:trHeight w:val="210"/>
        </w:trPr>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rate changes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2022 vs 2021</w:t>
            </w:r>
          </w:p>
        </w:tc>
      </w:tr>
      <w:tr>
        <w:trPr>
          <w:trHeight w:val="196"/>
        </w:trPr>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79"/>
              </w:rPr>
              <w:t>(In millions)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on:</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Net sales</w:t>
            </w:r>
          </w:p>
        </w:tc>
        <w:tc>
          <w:tcPr>
            <w:tcW w:w="19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6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$83 million decrease in our Chemicals Segment’s net sales (translation losses) was caused primarily by a strengthening of the U.S. dollar relative to the euro, as its euro-denominated sales were translated into fewer U.S. dollars in 2022 as compared to 2021. The strengthening of the U.S. dollar relative to the Canadian dollar and the Norwegian krone in 2022 did not have a significant effect on the reported amount of our Chemicals Segment’s net sales, as a substantial portion of the sales generated by our Chemicals Segment’s Canadian and Norwegian operations is denominated in the U.S. dollar.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$21 million increase in our Chemicals Segment’s operating income was comprised of the following:</w:t>
      </w:r>
    </w:p>
    <w:p>
      <w:pPr>
        <w:spacing w:after="0" w:line="225" w:lineRule="exact"/>
        <w:rPr>
          <w:sz w:val="20"/>
          <w:szCs w:val="20"/>
          <w:color w:val="auto"/>
        </w:rPr>
      </w:pPr>
    </w:p>
    <w:p>
      <w:pPr>
        <w:jc w:val="both"/>
        <w:ind w:left="1000" w:hanging="317"/>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net currency transaction gains of approximately $16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and</w:t>
      </w:r>
    </w:p>
    <w:p>
      <w:pPr>
        <w:spacing w:after="0" w:line="192" w:lineRule="exact"/>
        <w:rPr>
          <w:rFonts w:ascii="Arial" w:cs="Arial" w:eastAsia="Arial" w:hAnsi="Arial"/>
          <w:sz w:val="18"/>
          <w:szCs w:val="18"/>
          <w:color w:val="auto"/>
        </w:rPr>
      </w:pPr>
    </w:p>
    <w:p>
      <w:pPr>
        <w:jc w:val="both"/>
        <w:ind w:left="1000" w:hanging="317"/>
        <w:spacing w:after="0" w:line="273"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Approximately $5 million from net currency translation gains primarily caused by a strengthening of the U.S. dollar relative to the Canadian dollar and Norwegian krone, as our Chemicals Segment’s local currency-denominated operating costs were translated into fewer U.S. dollars in 2022 as compared to 2021, partially offset by net currency translation losses primarily caused by a strengthening of the U.S. dollar relative to the euro as the negative effects of the stronger U.S. dollar on our Chemicals Segment’s euro-denominated sales more than offset the favorable effects of euro-denominated operating costs being translated into fewer U.S. dollars in 2022 as compared to 2021.</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Outlook – </w:t>
      </w:r>
      <w:r>
        <w:rPr>
          <w:rFonts w:ascii="Arial" w:cs="Arial" w:eastAsia="Arial" w:hAnsi="Arial"/>
          <w:sz w:val="17"/>
          <w:szCs w:val="17"/>
          <w:color w:val="auto"/>
        </w:rPr>
        <w:t>As previously reported, late in the second quarter our Chemicals Segment began to experience some decline in</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in residential architectural coatings markets in certain areas of Europe and the export markets. Late in the third quarter, the demand weakness in Europe and the export markets began to rapidly accelerate as many of our Chemicals Segment’s customers in those regions reduced their production rates in response to economic conditions and geopolitical uncertainties. In the third quarter, demand in the North American and Latin American markets remained relatively stable, although recently our Chemicals Segment has begun to see some softening in demand mainly in the architectural coatings market.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Chemicals Segment continues to experience rising costs led by natural gas, electricity, and certain key raw materials. Feedstock costs increased significantly during the first nine months of the year, but our Chemicals Segment expects these costs to moderate going forward. Our Chemicals Segment expects its sales volumes and operating results in the near term will be adversely impacted by the effects of reduced demand and increased costs.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response to the decline in demand coupled with increased production costs, particularly in Europe, our Chemicals Segment has implemented production curtailments at two of its European facilities during the fourth quarter. Our Chemicals Segment will continue to monitor current and anticipated near-term customer demand levels and will align its production and inventories accordingly. The long-term outlook for our Chemicals Segment’s industry remains very positive, and the steps it is taking in the near term are intended to preserve its global market share and position its business to profitably grow in the future.</w:t>
      </w:r>
    </w:p>
    <w:p>
      <w:pPr>
        <w:spacing w:after="0" w:line="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Our expectations for the TiO</w:t>
      </w:r>
      <w:r>
        <w:rPr>
          <w:rFonts w:ascii="Arial" w:cs="Arial" w:eastAsia="Arial" w:hAnsi="Arial"/>
          <w:sz w:val="23"/>
          <w:szCs w:val="23"/>
          <w:color w:val="auto"/>
          <w:vertAlign w:val="subscript"/>
        </w:rPr>
        <w:t>2</w:t>
      </w:r>
      <w:r>
        <w:rPr>
          <w:rFonts w:ascii="Arial" w:cs="Arial" w:eastAsia="Arial" w:hAnsi="Arial"/>
          <w:sz w:val="16"/>
          <w:szCs w:val="16"/>
          <w:color w:val="auto"/>
        </w:rPr>
        <w:t xml:space="preserve"> industry and our Chemical Segment’s operations are based on a number of factors outside our control. As noted above, our Chemicals Segment has experienced global market disruptions including high energy costs and availability concerns and future impacts on its operations will depend on, among other things, future energy costs and availability and the impact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economic conditions and geopolitical events have on our Chemical Segment’s operations or its customers’ and suppliers’ operations, all of which remain uncertain and cannot be predicted.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 Products –</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Component Products Segment’s product offerings consist of a significantly large number of products that have a wide variation in selling price and manufacturing cost, which results in certain practical limitations on its ability to quantify the impact of changes in individual product sales quantities and selling prices on the segment’s net sales, cost of sales and gross margin. In addition, small variations in period-to-period net sales, cost of sales and gross margin can result from changes in the relative mix of our Component Products Segment’s products sold. The key performance indicator for our Component Products Segment is operating income and margins</w:t>
      </w:r>
      <w:r>
        <w:rPr>
          <w:rFonts w:ascii="Arial" w:cs="Arial" w:eastAsia="Arial" w:hAnsi="Arial"/>
          <w:sz w:val="18"/>
          <w:szCs w:val="18"/>
          <w:b w:val="1"/>
          <w:bCs w:val="1"/>
          <w:color w:val="auto"/>
        </w:rPr>
        <w: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third quarter of 2022 our Component Products Segment’s operating income increased to $6.0 million compared to $5.1 million in the third quarter of 2021. The increase in our Component Products Segment’s operating income in the third quarter of 2022 compared to 2021 is primarily due to higher marine components sales, somewhat offset by higher security products cost of sales. Operating income for the first nine months of 2022 was $20.0 million compared to $16.7 million in the first nine months of 2021. The increase in our Component Products Segment’s operating income in the first nine months of 2022 compared to the same period in 2021 is primarily due to higher marine components sales and to a lesser extent higher security products sales.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w w:val="91"/>
              </w:rPr>
              <w:t>Three months ended September 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9"/>
          </w:tcPr>
          <w:p>
            <w:pPr>
              <w:ind w:left="1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rPr>
              <w:t>(Dollars in millions)</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(Dollars in millions)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10 %</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18"/>
                <w:szCs w:val="18"/>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86.9</w:t>
            </w:r>
          </w:p>
        </w:tc>
        <w:tc>
          <w:tcPr>
            <w:tcW w:w="260" w:type="dxa"/>
            <w:vAlign w:val="bottom"/>
          </w:tcPr>
          <w:p>
            <w:pPr>
              <w:spacing w:after="0"/>
              <w:rPr>
                <w:sz w:val="18"/>
                <w:szCs w:val="18"/>
                <w:color w:val="auto"/>
              </w:rPr>
            </w:pPr>
          </w:p>
        </w:tc>
        <w:tc>
          <w:tcPr>
            <w:tcW w:w="1140" w:type="dxa"/>
            <w:vAlign w:val="bottom"/>
            <w:gridSpan w:val="3"/>
          </w:tcPr>
          <w:p>
            <w:pPr>
              <w:ind w:left="6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ind w:left="420"/>
              <w:spacing w:after="0"/>
              <w:rPr>
                <w:sz w:val="20"/>
                <w:szCs w:val="20"/>
                <w:color w:val="auto"/>
              </w:rPr>
            </w:pPr>
            <w:r>
              <w:rPr>
                <w:rFonts w:ascii="Arial" w:cs="Arial" w:eastAsia="Arial" w:hAnsi="Arial"/>
                <w:sz w:val="18"/>
                <w:szCs w:val="18"/>
                <w:color w:val="auto"/>
              </w:rPr>
              <w:t>Total net sales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26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260" w:type="dxa"/>
            <w:vAlign w:val="bottom"/>
          </w:tcPr>
          <w:p>
            <w:pPr>
              <w:spacing w:after="0"/>
              <w:rPr>
                <w:sz w:val="21"/>
                <w:szCs w:val="21"/>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20.0</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Percent of net sales: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72 %</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70 %</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 Our Component Products Segment’s net sales increased $8.4 million and $19.9 million in the third quarter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nine months of 2022, respectively, compared to the same periods in 2021 due to higher marine components sales primarily to the towboat market and, to a lesser extent, higher security products sales across a variety of markets. Relative to prior year, third quarter security products sales were $.7 million higher to the government security market, $.5 million higher to the office furniture market and $.4 million higher to the gas station security market, and security products sales for the first nine months of 2022 were $2.7 million higher to the government security market, $1.9 million higher to the office furniture market, $1.0 million higher to distributors and $.7 million higher to each of the gas station security and general cabinetry markets. Relative to prior year, third quarter marine components sales were $3.5 million higher to the towboat market, $.9 million higher to the industrial market and $.8 million higher to the engine builder market, and marine components net sales for the first nine months of 2022 were $9.2 million higher to the towboat market, $1.2 million higher to the industrial market and $1.1 million higher to the engine builder market.</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Costs of Sales and Gross Margin </w:t>
      </w:r>
      <w:r>
        <w:rPr>
          <w:rFonts w:ascii="Arial" w:cs="Arial" w:eastAsia="Arial" w:hAnsi="Arial"/>
          <w:sz w:val="16"/>
          <w:szCs w:val="16"/>
          <w:color w:val="auto"/>
        </w:rPr>
        <w:t>– Our Component Products Segment’s cost of sales as a percentage of net sales increased 3.8%</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third quarter of 2022 and 1.5% for the first nine months of 2022 compared to the same periods in 2021. As a result, gross margin as a percentage of net sales decreased over the same periods. Gross margin percentage decreased in the third quarter and for the first nine months of 2022 compared to the same periods in 2021 primarily due to lower gross margin at security products which decreased as compared to the same periods in 2021 primarily due to higher costs of sales as price increases and surcharges did not fully offset higher cost inventory sold during the third quarter. Additionally, lower marine components gross margin in the first quarter of 2022 compared to the first quarter of 2021 unfavorably impacted gross margin for the nine-month comparative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 As a percentage of net sales, our Component Products Segment’s operating income declined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2022 compared to the same period of 2021 due to the decline in gross margins primarily at Security Products noted above. For the first nine months of 2022 our Component Products Segment’s operating income as a percentage of net sales increased compared to the same period of 2021 primarily due to higher operating income percentages experienced during the first six months of the year.</w:t>
      </w:r>
    </w:p>
    <w:p>
      <w:pPr>
        <w:spacing w:after="0" w:line="1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nine months of 2022, our Component Products Segment has experienced strong demand at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products and marine components reporting units. Our Component Products Segment operated its manufacturing facilities at elevated production rates during the first nine months of the year in line with demand. While labor markets continue to be competitive in each of the regions in which our Component Products Segment operates and labor costs continue to rise, our Component Products Segment has been able to achieve and maintain more balanced staffing levels aligned with current and forecasted demand, particularly at its marine components reporting unit.</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Thus far, the softening in demand the security products reporting unit has experienced in the transportation market has been more than offset by continued strong demand in other markets, particularly the government security and office furniture market. Our Component Products Segment expects gross margins at security products will continue to be challenged for the remainder of the year as higher cost inventory continues to work its way through cost of sales. Marine components reporting unit demand remains strong and with the implementation of price increases for the new model year at the beginning of the third quarter, our Component Products Segment expects to maintain gross margins comparable to 2021 at the marine components reporting unit during the fourth quarter. Based on our Component Products Segment’s strong performance through the first nine months, it expects to report increased net sales and operating income from both reporting units for the full year 2022 compared to 2021. Certain of our Component Products Segment’s supply chains, particularly for commodity raw materials, have stabilized while other supply chains remain challenging, and current global and domestic supply chain disruptions continue to impact sourcing certain of raw materials and components (such as electronic components) due to increased lead times, shortages and transportation and logistics delays. Thus far, our Component Products Segment has been able to manage through these disruptions with minimal impact on its operations. In addition, our Component Products Segment is experiencing increased production costs including higher labor and shipping costs and, although prices for certain raw materials have begun to stabilize, costs of many of the raw materials it uses including zinc, brass, stainless steel and aluminum remain elevated above pre-pandemic levels. In response, our Component Products Segment has implemented price increases and surcharges which have partially offset its increased production costs although, particularly at security products, our Component Products Segment is increasingly unable to fully recover its cost increases. The extent to which future price increases and surcharges will mitigate rising costs is uncertain. Our Component Products Segment continues to take actions it believes will minimize supply related disruptions, manage inventory turnover, improve operating margins and maintain a safe working environment for its employees.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Component Products Segment’s expectations for its operations and the markets it serves are based on a number of factors outside its control. As noted above, there continue to be global and domestic supply chain challenges and any future impacts on our Component Products Segment’s operations will depend on, among other things, any future disruption in its operations or its suppliers’ operations, demand for its products and the timing and effectiveness of the global measures deployed to fight COVID-19, particularly in China, all of which remain uncertain and cannot be predicted.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Real Estate Management and Development –</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gridSpan w:val="4"/>
          </w:tcPr>
          <w:p>
            <w:pPr>
              <w:jc w:val="right"/>
              <w:ind w:right="1"/>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4"/>
              </w:rPr>
              <w:t>(In millions)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Land sales</w:t>
            </w:r>
          </w:p>
        </w:tc>
        <w:tc>
          <w:tcPr>
            <w:tcW w:w="132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41.9</w:t>
            </w:r>
          </w:p>
        </w:tc>
        <w:tc>
          <w:tcPr>
            <w:tcW w:w="100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5"/>
              </w:rPr>
              <w:t>52.8</w:t>
            </w:r>
          </w:p>
        </w:tc>
        <w:tc>
          <w:tcPr>
            <w:tcW w:w="6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57.0</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 delivery sales</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Utility and other</w:t>
            </w:r>
          </w:p>
        </w:tc>
        <w:tc>
          <w:tcPr>
            <w:tcW w:w="5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53.8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25.5</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29.0</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5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19.1</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24.8</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58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15.8</w:t>
            </w:r>
          </w:p>
        </w:tc>
        <w:tc>
          <w:tcPr>
            <w:tcW w:w="240" w:type="dxa"/>
            <w:vAlign w:val="bottom"/>
            <w:vMerge w:val="continue"/>
          </w:tcPr>
          <w:p>
            <w:pPr>
              <w:spacing w:after="0"/>
              <w:rPr>
                <w:sz w:val="18"/>
                <w:szCs w:val="18"/>
                <w:color w:val="auto"/>
              </w:rPr>
            </w:pPr>
          </w:p>
        </w:tc>
        <w:tc>
          <w:tcPr>
            <w:tcW w:w="760" w:type="dxa"/>
            <w:vAlign w:val="bottom"/>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5"/>
              </w:rPr>
              <w:t>29.1</w:t>
            </w:r>
          </w:p>
        </w:tc>
        <w:tc>
          <w:tcPr>
            <w:tcW w:w="240" w:type="dxa"/>
            <w:vAlign w:val="bottom"/>
            <w:vMerge w:val="continue"/>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24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General – </w:t>
      </w:r>
      <w:r>
        <w:rPr>
          <w:rFonts w:ascii="Arial" w:cs="Arial" w:eastAsia="Arial" w:hAnsi="Arial"/>
          <w:sz w:val="16"/>
          <w:szCs w:val="16"/>
          <w:color w:val="auto"/>
        </w:rPr>
        <w:t>Our Real Estate Management and Development Segment consists of BMI and LandWell. BMI provides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among other things, to an industrial park located in Henderson, Nevada and is responsible for the delivery of water to the City</w:t>
      </w:r>
    </w:p>
    <w:p>
      <w:pPr>
        <w:sectPr>
          <w:pgSz w:w="11900" w:h="16838" w:orient="portrait"/>
          <w:cols w:equalWidth="0" w:num="1">
            <w:col w:w="9920"/>
          </w:cols>
          <w:pgMar w:left="980" w:top="517" w:right="999" w:bottom="1440" w:gutter="0" w:footer="0" w:header="0"/>
        </w:sectPr>
      </w:pP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Henderson and various other users through a water delivery system owned and operated by Basic Water Company (“BWC”), a wholly-owned subsidiary of BMI. LandWell is actively engaged in efforts to develop certain real estate in Henderson, Nevada, including approximately 2,100 acres zoned for residential/planned community purposes and approximately 400 acres zoned for commercial and light industrial use.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LandWell began marketing land for sale in the residential/planned community in December 2013 and at September 30, 2022 approximately 90 saleable acres remain. LandWell has been actively marketing and selling the land zoned for commercial and light industrial use and at September 30, 2022 approximately 20 saleable acres remain. Contracts for land sales are negotiated on an individual basis and sales terms and prices will vary based on such factors as location (including location within a planned community), expected development work, and individual buyer needs. Although land may be under contract or in escrow, in most instances buyers can cancel the escrow agreement with no financial penalties until shortly before the closing date. Land sales may be completed but we do not recognize revenue until we have satisfied the criteria for revenue recognition set forth in ASC Topic 606. In some instances, we will receive cash proceeds at the time the contract closes and record deferred revenue for some or all of the cash amount received, with such deferred revenue being recognized in subsequent periods. Substantially all of the land in the residential/planned community has been sold; however, we expect the development work to take three to five years to complete.</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Net Sales and Operating Income – </w:t>
      </w:r>
      <w:r>
        <w:rPr>
          <w:rFonts w:ascii="Arial" w:cs="Arial" w:eastAsia="Arial" w:hAnsi="Arial"/>
          <w:sz w:val="16"/>
          <w:szCs w:val="16"/>
          <w:color w:val="auto"/>
        </w:rPr>
        <w:t>A substantial portion of the net sales from our Real Estate Management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 the third quarter and first nine months of 2021 and 2022 consisted of revenues from land sales. As noted above, we recognize revenue in our residential/planned community over time using cost-based input methods and substantially all of the land sales revenue we recognized in 2021 and 2022 was under this method of revenue recognition. The contracts on these sales (both within the planned community and otherwise) include approximately 1,000 acres of the residential planned community and certain other acreage which closed in December 2013 and through the third quarter of 2022. Land sales revenues were higher in the third quarter and first nine months of 2022 as compared to the same periods in 2021 primarily due to an increase in development activity in 2022 compared to 2021. Cost of sales related to land sales revenues was $54.4 million in the first nine months of 2022 compared to $32.0 million in the first nine months of 2021. Operating income includes $6.2 million in the first nine months of 2021 (all in the first quarter) and $10.0 million in the first nine months of 2022 (all in the third quarter) of income related to the recognition of tax increment reimbursement note receivables and $.8 million in the first nine months of 2022 (all in the second quarter) of income related to the recognition of infrastructure reimbursement related to an energy utility agreement, as discussed in Note 11 to our Condensed Consolidated Financial Statements.</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remainder of net sales and cost of sales related to this segment primarily relates to water delivery fees and expenses. BMI provides utility services, among other things, to an industrial park located in Henderson, Nevada and is responsible for the delivery of water to the City of Henderson and various other users under long-term contracts through a water delivery system owned and operated by BWC. BWC’s water delivery system operates on Lake Mead in Nevada. Due to the Western drought, water levels in Lake Mead have been declining for much of the last twenty years. As a result of water release curtailments upstream of Lake Mead which began late in the second quarter, Lake Mead water levels have dropped precipitously to historically low levels. On June 30, 2022 BWC was no longer able to pump water without the risk of damaging the system and consequently ceased operations at its water intake facility to best preserve the system. Current estimates of Lake Mead water levels do not indicate lake levels will be sufficient to enable BWC to resume pumping water for the foreseeable future. We considered BWC’s inability to pump water from Lake Mead to be a triggering event under the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which caused us to evaluate the water system fixed assets for impairment. Because BWC is unable to deliver water under its current contracts and therefore unable to generate revenue, we determined the water system’s assets were fully impaired except to the extent certain equipment had alternative use outside of BWC’s operations, in which case those assets were written down to estimated salvage value. The $16.4 million impairment charge primarily recognized in the second quarter of 2022 represents the write down of the book value to the estimated salvage value of the assets. Without the ability to pump and deliver water to its customers, BWC’s operating expenses exceed its revenues, and on September 10, 2022 BWC and its subsidiaries voluntarily filed for Chapter 11 bankruptcy protection in the United States Bankruptcy Court for the District of Nevada. Because BWC has filed for bankruptcy protection, we and BMI can no longer affirmatively assert we control BWC and, as such, in accordance with ASC 810, </w:t>
      </w:r>
      <w:r>
        <w:rPr>
          <w:rFonts w:ascii="Arial" w:cs="Arial" w:eastAsia="Arial" w:hAnsi="Arial"/>
          <w:sz w:val="16"/>
          <w:szCs w:val="16"/>
          <w:i w:val="1"/>
          <w:iCs w:val="1"/>
          <w:color w:val="auto"/>
        </w:rPr>
        <w:t xml:space="preserve">Consolidation, </w:t>
      </w:r>
      <w:r>
        <w:rPr>
          <w:rFonts w:ascii="Arial" w:cs="Arial" w:eastAsia="Arial" w:hAnsi="Arial"/>
          <w:sz w:val="16"/>
          <w:szCs w:val="16"/>
          <w:color w:val="auto"/>
        </w:rPr>
        <w:t>we deconsolidated BWC as of the date of the bankruptcy filing and recognized a loss of $2.0 million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2022 on the deconsolidation. In addition, BMI had an outstanding intercompany accounts receivable balance with BWC on the date of the bankruptcy filing, and we recognized $1.3 million of bad debt expense to fully reserve this balance during the third quarter of 2022. All of these charges are included in the determination of the Real Estate Management and Development’s operating income in the third quarter and first nine months of 2022. See Notes 2 and 6 to our Consolidated Financial Statements.</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Outlook – </w:t>
      </w:r>
      <w:r>
        <w:rPr>
          <w:rFonts w:ascii="Arial" w:cs="Arial" w:eastAsia="Arial" w:hAnsi="Arial"/>
          <w:sz w:val="16"/>
          <w:szCs w:val="16"/>
          <w:color w:val="auto"/>
        </w:rPr>
        <w:t>LandWell is focused on developing the land it manages, primarily to residential builders, for the residential/planned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community in Henderson. Substantially all of the land in the residential/planned community has been sold with approximately 90 acres remaining. Due to the current economic conditions we are unsure of the timing of the sale of the remaining acres. Because we recognize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revenue over time using cost-based inputs, we expect to continue to recognize revenue on land previously sold over the development period, currently expected to take three to five years. At September 30, 2022 we have deferred revenue of $131.2 million related to previously closed land sales. Any delays or curtailments in infrastructure development related to post-closing obligation activities will lower the amount of revenue we recognize on previously closed land sales. As noted above, we cannot guarantee land held in escrow will close as currently scheduled because builders can generally cancel without financial penalty until shortly before scheduled closing. In addition, under LandWell’s development agreement with the City of Henderson, the issuance of a specified number of housing permits requires LandWell to complete certain large infrastructure projects. LandWell began construction on several of these community-wide large projects in late 2021 with the bulk of such construction continuing into 2022 and, as a result of the increase in activity, we expect these land development costs to increase during 2022. Because these large projects relate to the entirety of the residential/planned community, the costs associated with these large projects are not part of the cost-based inputs used to recognize revenue and therefore this spending will not correlate to revenue recognition. However, this spending is expected to be eligible for tax increment reimbursement and delays or curtailments in eligible infrastructure development activities will also delay LandWell’s ability to submit completed costs to the City of Henderson for approval of additional tax increment reimbursement note receivables.</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BWC filed for Chapter 11 bankruptcy protection on September 10, 2022. BWC is operating under court protection, and a portion of BWC’s water delivery system is still operating with water provided by the regional water authority in order to continue to provide water to its industrial customers for an interim period. We cannot predict the timing or the outcome of the bankruptcy reorganization, and we may incur additional costs before the bankruptcy proceedings are concluded.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Items, Interest Expense, Income Taxes and Noncontrolling Interest – 2022 Compared to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Gain on Land Sale </w:t>
      </w:r>
      <w:r>
        <w:rPr>
          <w:rFonts w:ascii="Arial" w:cs="Arial" w:eastAsia="Arial" w:hAnsi="Arial"/>
          <w:sz w:val="18"/>
          <w:szCs w:val="18"/>
          <w:color w:val="auto"/>
        </w:rPr>
        <w:t>– In the first nine months of 2021 we sold excess property not used in our operations for net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$23.4 million and recognized a pre-tax gain of $16.0 million.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Changes in the Market Value of Valhi Common Stock held by Subsidiaries </w:t>
      </w:r>
      <w:r>
        <w:rPr>
          <w:rFonts w:ascii="Arial" w:cs="Arial" w:eastAsia="Arial" w:hAnsi="Arial"/>
          <w:sz w:val="16"/>
          <w:szCs w:val="16"/>
          <w:color w:val="auto"/>
        </w:rPr>
        <w:t>– Our subsidiaries, Kronos and NL, hold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As discussed in the 2021 Annual Report, we account for our proportional interest in these shares of our common stock as treasury stock, at Kronos’ and NL’s historical cost basis. The remaining portion of these shares of our common stock, which are attributable to the noncontrolling interest of Kronos and NL, are reflected in our Condensed Consolidated Balance Sheet at fair value. Kronos and NL recognize unrealized gains or losses on these shares of our common stock in the determination of each of their respective net income or losses. Under the principles of consolidation we eliminate any gains or losses associated with our common stock to the extent of our proportional ownership interest in each subsidiary. We recognized a loss of $4.9 million in the third quarter of 2022 compared to a loss of $.2 million in the same period of 2021 and a loss of $.9 million in the first nine months of 2022 compared to a gain of $2.0 million in the first nine months of 2021 in our Condensed Consolidated Statements of Income, which represents the unrealized gain in respect of these shares during such periods attributable to the noncontrolling interest of Kronos and NL.</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General Corporate Items </w:t>
      </w:r>
      <w:r>
        <w:rPr>
          <w:rFonts w:ascii="Arial" w:cs="Arial" w:eastAsia="Arial" w:hAnsi="Arial"/>
          <w:sz w:val="17"/>
          <w:szCs w:val="17"/>
          <w:color w:val="auto"/>
        </w:rPr>
        <w:t>– Corporate expenses in the third quarter of 2022 were comparable to the same prior year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and 5% higher in the first nine months of 2022 compared to the same period of 2021. Corporate expenses increased in the year-to-date period primarily due to higher litigation and related costs in 2022 compared to 2021. Included in corporate expense are:</w:t>
      </w:r>
    </w:p>
    <w:p>
      <w:pPr>
        <w:spacing w:after="0" w:line="165" w:lineRule="exact"/>
        <w:rPr>
          <w:sz w:val="20"/>
          <w:szCs w:val="20"/>
          <w:color w:val="auto"/>
        </w:rPr>
      </w:pPr>
    </w:p>
    <w:p>
      <w:pPr>
        <w:ind w:left="1000" w:hanging="317"/>
        <w:spacing w:after="0" w:line="324"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litigation fees and related costs at NL of $.9 million in the third quarter of 2022 compared to $.6 million in the third quarter of 2021 and $2.7 million in the first nine months of 2022 compared to $1.4 million in the first nine months of 2021; and</w:t>
      </w:r>
    </w:p>
    <w:p>
      <w:pPr>
        <w:spacing w:after="0" w:line="16" w:lineRule="exact"/>
        <w:rPr>
          <w:rFonts w:ascii="Arial" w:cs="Arial" w:eastAsia="Arial" w:hAnsi="Arial"/>
          <w:sz w:val="16"/>
          <w:szCs w:val="16"/>
          <w:color w:val="auto"/>
        </w:rPr>
      </w:pPr>
    </w:p>
    <w:p>
      <w:pPr>
        <w:ind w:left="1000" w:hanging="317"/>
        <w:spacing w:after="0" w:line="261"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remediation and related benefit of $.1 million in the third quarter of 2022 compared to costs of $.4 million in the third quarter of 2021 and costs of $1.3 million in each of the first nine months of 2022 and 2021.</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Overall, we currently expect that our general corporate expenses in 2022 will be higher than 2021 primarily due to higher expected litigation fees and related costs.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level of our litigation fees and related expenses varies from period to period depending upon, among other things, the number of cases in which we are currently involved, the nature of such cases and the current stage of such cases (e.g. discovery, pre-trial motions, trial or appeal, if applicable). See Note 15 to our Condensed Consolidated Financial Statements. If our current expectations regarding the number of cases in which we expect to be involved during 2022, or the nature of such cases, were to change, our corporate expenses could be higher than we currently estimate.</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Obligations for environmental remediation and related costs are difficult to assess and estimate, and it is possible that actual costs for environmental remediation and related costs will exceed accrued amounts or that costs will be incurred in the future for sites</w:t>
      </w:r>
    </w:p>
    <w:p>
      <w:pPr>
        <w:sectPr>
          <w:pgSz w:w="11900" w:h="16838" w:orient="portrait"/>
          <w:cols w:equalWidth="0" w:num="1">
            <w:col w:w="9920"/>
          </w:cols>
          <w:pgMar w:left="980" w:top="517" w:right="999" w:bottom="1440" w:gutter="0" w:footer="0" w:header="0"/>
        </w:sectPr>
      </w:pP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which we cannot currently estimate the liability. If these events occur in 2022, our corporate expense could be higher than we currently estimate. In addition, we adjust our accruals for environmental remediation and related costs as further information becomes available to us or as circumstances change. Such further information or changed circumstances could result in an increase or reduction in our accrued environmental remediation and related costs. See Note 15 to our Condensed Consolidated Financial Statements.</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Interest expense of $7.0 million in the third quarter and $20.9 million in the first nine months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$.9 million and $4.3 million, respectively, compared to the same prior year periods primarily due to lower average balances and the effects of changes in currency exchange rates somewhat offset by higher interest rates on variable-rate indebtedness in 2022.</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interest expense in 2022 will be lower than 2021 as lower average debt balances and the effects of changes in currency exchange rates will be offset by higher average rates.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 We recognized income tax expense of $8.2 million in the third quarter of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expense of $16.9 million in the third quarter of 2021 and $42.1 million in the first nine months of 2022 compared to $35.2 million in the first nine months of 2021. The decrease in the third quarter of 2022 is primarily due to lower earnings in the third quarter and the jurisdictional mix of such earnings whereas the increase in the first nine months of 2022 is primarily due to higher earnings in 2022 and the jurisdictional mix of such earnings. Our earnings are subject to income tax in various U.S. and non-U.S. jurisdictions, and the income tax rates applicable to the pre-tax earnings (losses) of our non-U.S. operations are generally higher than the income tax rates applicable to our U.S. operations. We would generally expect our overall effective tax rate to be higher than the U.S. federal statutory tax rate of 21% primarily because of our non-U.S. operations.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recognize deferred income taxes with respect to the excess of the financial reporting carrying amount over the income tax basis of our direct investment in Kronos common stock because the exemption under GAAP to avoid such recognition of deferred income taxes is not available to us. At December 31, 2021, we recognized a deferred income tax liability with respect to our direct investment in Kronos of $45.4 million. There is a maximum amount (or cap) of such deferred income taxes we are required to recognize with respect to our direct investment in Kronos. The maximum amount of the cap is $155.4 million. During the first nine months of 2022, we recognized a non-cash deferred income tax expense with respect to our direct investment in Kronos of $2.3 million for the increase in the deferred income taxes required to be recognized with respect to the excess of the financial reporting carrying amount over the income tax basis of our direct investment in Kronos common stock, to the extent such increase related to our equity in Kronos’ net income during such period. We recognized a similar deferred income tax expense of $.7 million in the first nine months of 2021. A portion of the net change with respect to the excess of the financial reporting carrying amount over the income tax basis of our direct investment in Kronos common stock during such periods related to our equity in Kronos’ other comprehensive income (loss) items, and the amounts allocated to other comprehensive income (loss) items includes amounts related to our equity in Kronos’ other comprehensive income (loss) items.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12 to our Condensed Consolidated Financial Statements for a tabular reconciliation of our statutory income tax provision to our actual tax provision.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Noncontrolling Interest in Net Income of Subsidiaries </w:t>
      </w:r>
      <w:r>
        <w:rPr>
          <w:rFonts w:ascii="Arial" w:cs="Arial" w:eastAsia="Arial" w:hAnsi="Arial"/>
          <w:sz w:val="18"/>
          <w:szCs w:val="18"/>
          <w:color w:val="auto"/>
        </w:rPr>
        <w:t>– Noncontrolling interest in operations of subsidiaries increased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2021 primarily due to increased operating income at Kronos and LandWell. See Note 13 to our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Trends in cash flows from operating activities (excluding the impact of significant asset dispositions and relative changes in assets and liabilities) are generally similar to trends in our operating income. In addition to the impact of the operating, investing and financing cash flows discussed below, changes in the amount of cash, cash equivalents and restricted cash we report from period to period can be impacted by changes in currency exchange rates, since a portion of our cash, cash equivalents and restricted cash is held by our non-U.S.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provided by operating activities was $27.9 million in the first nine months of 2022 compared to cash provided by operating activities of $189.2 million in the first nine months of 2021. This $161.3 million decrease in cash from operating activities was primarily due to the net effect of the following items:</w:t>
      </w:r>
    </w:p>
    <w:p>
      <w:pPr>
        <w:spacing w:after="0" w:line="184" w:lineRule="exact"/>
        <w:rPr>
          <w:sz w:val="20"/>
          <w:szCs w:val="20"/>
          <w:color w:val="auto"/>
        </w:rPr>
      </w:pPr>
    </w:p>
    <w:p>
      <w:pPr>
        <w:ind w:left="1000" w:right="20" w:hanging="31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$158.4 million increase in the amount of net cash used in relative changes in receivables, inventories, payables and accrued liabilities in the first nine months of 2022;</w:t>
      </w:r>
    </w:p>
    <w:p>
      <w:pPr>
        <w:spacing w:after="0" w:line="62"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operating income of $242.0 million in the first nine months of 2022, an increase of $53.9 million compared to operating income of $188.1 million in the first nine months of 2021; and</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net cash paid for income taxes in 2022 of $8.6 million due to the timing of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working capital were affected by accounts receivable and inventory changes as shown below:</w:t>
      </w:r>
    </w:p>
    <w:p>
      <w:pPr>
        <w:spacing w:after="0" w:line="225" w:lineRule="exact"/>
        <w:rPr>
          <w:sz w:val="20"/>
          <w:szCs w:val="20"/>
          <w:color w:val="auto"/>
        </w:rPr>
      </w:pPr>
    </w:p>
    <w:p>
      <w:pPr>
        <w:ind w:left="1000" w:right="2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Kronos’ average days sales outstanding (“DSO”) increased from December 31, 2021 to September 30, 2022 primarily due to relative changes in the timing of collections.</w:t>
      </w:r>
    </w:p>
    <w:p>
      <w:pPr>
        <w:spacing w:after="0" w:line="62"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Kronos’ average days sales in inventory (“DSI”) increased from December 31, 2021 to September 30, 2022 primarily due to higher inventory volumes attributable to production volumes exceeding sales volumes in the first nine months of 2022 compared to 2021.</w:t>
      </w:r>
    </w:p>
    <w:p>
      <w:pPr>
        <w:spacing w:after="0" w:line="7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CompX’s average DSO decreased from December 31, 2021 to September 30, 2022 primarily as a result of relative changes in the timing of collections.</w:t>
      </w:r>
    </w:p>
    <w:p>
      <w:pPr>
        <w:spacing w:after="0" w:line="62" w:lineRule="exact"/>
        <w:rPr>
          <w:rFonts w:ascii="Arial" w:cs="Arial" w:eastAsia="Arial" w:hAnsi="Arial"/>
          <w:sz w:val="18"/>
          <w:szCs w:val="18"/>
          <w:color w:val="auto"/>
        </w:rPr>
      </w:pPr>
    </w:p>
    <w:p>
      <w:pPr>
        <w:jc w:val="both"/>
        <w:ind w:left="1000" w:right="20" w:hanging="317"/>
        <w:spacing w:after="0" w:line="311"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CompX’s average DSI increased from December 31, 2021 to September 30, 2022 due to increased inventories of certain components and raw materials that had longer lead times or for which CompX has experienced availability issues and from the timing of sales relative to the end of the quarter, primarily at CompX’s security products reporting unit.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comparative purposes, we have also provided comparable prior period numbers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ind w:left="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4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2022</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Kronos: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Days sales outstanding</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68 days</w:t>
            </w:r>
          </w:p>
        </w:tc>
        <w:tc>
          <w:tcPr>
            <w:tcW w:w="1520" w:type="dxa"/>
            <w:vAlign w:val="bottom"/>
            <w:gridSpan w:val="2"/>
          </w:tcPr>
          <w:p>
            <w:pPr>
              <w:ind w:left="660"/>
              <w:spacing w:after="0"/>
              <w:rPr>
                <w:sz w:val="20"/>
                <w:szCs w:val="20"/>
                <w:color w:val="auto"/>
              </w:rPr>
            </w:pPr>
            <w:r>
              <w:rPr>
                <w:rFonts w:ascii="Arial" w:cs="Arial" w:eastAsia="Arial" w:hAnsi="Arial"/>
                <w:sz w:val="18"/>
                <w:szCs w:val="18"/>
                <w:color w:val="auto"/>
              </w:rPr>
              <w:t>66 days</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65 days</w:t>
            </w:r>
          </w:p>
        </w:tc>
        <w:tc>
          <w:tcPr>
            <w:tcW w:w="1280" w:type="dxa"/>
            <w:vAlign w:val="bottom"/>
          </w:tcPr>
          <w:p>
            <w:pPr>
              <w:ind w:left="660"/>
              <w:spacing w:after="0"/>
              <w:rPr>
                <w:sz w:val="20"/>
                <w:szCs w:val="20"/>
                <w:color w:val="auto"/>
              </w:rPr>
            </w:pPr>
            <w:r>
              <w:rPr>
                <w:rFonts w:ascii="Arial" w:cs="Arial" w:eastAsia="Arial" w:hAnsi="Arial"/>
                <w:sz w:val="18"/>
                <w:szCs w:val="18"/>
                <w:color w:val="auto"/>
                <w:w w:val="95"/>
              </w:rPr>
              <w:t>66 days</w:t>
            </w: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Days sales in inventory</w:t>
            </w: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74 days</w:t>
            </w:r>
          </w:p>
        </w:tc>
        <w:tc>
          <w:tcPr>
            <w:tcW w:w="1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51 days</w:t>
            </w: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59 days</w:t>
            </w:r>
          </w:p>
        </w:tc>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69 days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CompX:</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Days sales outstanding</w:t>
            </w: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33 days</w:t>
            </w:r>
          </w:p>
        </w:tc>
        <w:tc>
          <w:tcPr>
            <w:tcW w:w="1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40 days</w:t>
            </w: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42 days</w:t>
            </w:r>
          </w:p>
        </w:tc>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41 days</w:t>
            </w: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Days sales in inventory</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75 days</w:t>
            </w:r>
          </w:p>
        </w:tc>
        <w:tc>
          <w:tcPr>
            <w:tcW w:w="1520" w:type="dxa"/>
            <w:vAlign w:val="bottom"/>
            <w:gridSpan w:val="2"/>
          </w:tcPr>
          <w:p>
            <w:pPr>
              <w:ind w:left="660"/>
              <w:spacing w:after="0"/>
              <w:rPr>
                <w:sz w:val="20"/>
                <w:szCs w:val="20"/>
                <w:color w:val="auto"/>
              </w:rPr>
            </w:pPr>
            <w:r>
              <w:rPr>
                <w:rFonts w:ascii="Arial" w:cs="Arial" w:eastAsia="Arial" w:hAnsi="Arial"/>
                <w:sz w:val="18"/>
                <w:szCs w:val="18"/>
                <w:color w:val="auto"/>
              </w:rPr>
              <w:t>91 days</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96 days</w:t>
            </w:r>
          </w:p>
        </w:tc>
        <w:tc>
          <w:tcPr>
            <w:tcW w:w="1280" w:type="dxa"/>
            <w:vAlign w:val="bottom"/>
          </w:tcPr>
          <w:p>
            <w:pPr>
              <w:ind w:left="660"/>
              <w:spacing w:after="0"/>
              <w:rPr>
                <w:sz w:val="20"/>
                <w:szCs w:val="20"/>
                <w:color w:val="auto"/>
              </w:rPr>
            </w:pPr>
            <w:r>
              <w:rPr>
                <w:rFonts w:ascii="Arial" w:cs="Arial" w:eastAsia="Arial" w:hAnsi="Arial"/>
                <w:sz w:val="18"/>
                <w:szCs w:val="18"/>
                <w:color w:val="auto"/>
                <w:w w:val="95"/>
              </w:rPr>
              <w:t>98 days</w:t>
            </w: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have complete access to the cash flows of our majority-owned subsidiaries, due in part to limitations contained in certain credit agreements of our subsidiaries and because we do not own 100% of these subsidiaries. A detail of our consolidated cash flows from operating activities is presented in the table below. Intercompany dividends have been eliminated.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gridSpan w:val="4"/>
          </w:tcPr>
          <w:p>
            <w:pPr>
              <w:jc w:val="center"/>
              <w:spacing w:after="0" w:line="196" w:lineRule="exact"/>
              <w:rPr>
                <w:sz w:val="20"/>
                <w:szCs w:val="20"/>
                <w:color w:val="auto"/>
              </w:rPr>
            </w:pPr>
            <w:r>
              <w:rPr>
                <w:rFonts w:ascii="Arial" w:cs="Arial" w:eastAsia="Arial" w:hAnsi="Arial"/>
                <w:sz w:val="18"/>
                <w:szCs w:val="18"/>
                <w:b w:val="1"/>
                <w:bCs w:val="1"/>
                <w:color w:val="auto"/>
                <w:w w:val="93"/>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provided by (used in) operating activities: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Kronos</w:t>
            </w:r>
          </w:p>
        </w:tc>
        <w:tc>
          <w:tcPr>
            <w:tcW w:w="3200" w:type="dxa"/>
            <w:vAlign w:val="bottom"/>
            <w:gridSpan w:val="2"/>
          </w:tcPr>
          <w:p>
            <w:pPr>
              <w:jc w:val="right"/>
              <w:ind w:right="83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c>
          <w:tcPr>
            <w:tcW w:w="780" w:type="dxa"/>
            <w:vAlign w:val="bottom"/>
            <w:gridSpan w:val="2"/>
          </w:tcPr>
          <w:p>
            <w:pPr>
              <w:jc w:val="right"/>
              <w:ind w:right="447"/>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Valhi exclusive of subsidiaries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CompX</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NL exclusive of subsidiaries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Tremont exclusive of subsidiaries</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BMI</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LandWell</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 and other</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c>
          <w:tcPr>
            <w:tcW w:w="0" w:type="dxa"/>
            <w:vAlign w:val="bottom"/>
          </w:tcPr>
          <w:p>
            <w:pPr>
              <w:spacing w:after="0"/>
              <w:rPr>
                <w:sz w:val="1"/>
                <w:szCs w:val="1"/>
                <w:color w:val="auto"/>
              </w:rPr>
            </w:pPr>
          </w:p>
        </w:tc>
      </w:tr>
      <w:tr>
        <w:trPr>
          <w:trHeight w:val="210"/>
        </w:trPr>
        <w:tc>
          <w:tcPr>
            <w:tcW w:w="4160" w:type="dxa"/>
            <w:vAlign w:val="bottom"/>
          </w:tcPr>
          <w:p>
            <w:pPr>
              <w:ind w:left="44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0" w:type="dxa"/>
            <w:vAlign w:val="bottom"/>
            <w:vMerge w:val="restart"/>
          </w:tcPr>
          <w:p>
            <w:pPr>
              <w:jc w:val="right"/>
              <w:ind w:right="1210"/>
              <w:spacing w:after="0"/>
              <w:rPr>
                <w:sz w:val="20"/>
                <w:szCs w:val="20"/>
                <w:color w:val="auto"/>
              </w:rPr>
            </w:pPr>
            <w:r>
              <w:rPr>
                <w:rFonts w:ascii="Arial" w:cs="Arial" w:eastAsia="Arial" w:hAnsi="Arial"/>
                <w:sz w:val="18"/>
                <w:szCs w:val="18"/>
                <w:color w:val="auto"/>
              </w:rPr>
              <w:t>36</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spent $48.0 million in capital expenditures during the first nine months of 2022 including:</w:t>
      </w:r>
    </w:p>
    <w:p>
      <w:pPr>
        <w:spacing w:after="0" w:line="225"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$44.4 million in our Chemicals Segment;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$3.0 million in our Component Products Segment;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 million in our Real Estate Management and Development Segment.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$8.6 million of BWC’s cash, cash equivalents and restricted cash was removed as part of its deconsolidation in the third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September 30, 2022:</w:t>
      </w:r>
    </w:p>
    <w:p>
      <w:pPr>
        <w:spacing w:after="0" w:line="225"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borrowed $.1 million and repaid $38.2 million under the Contran credit facility;</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repaid $8.4 million on BWC’s loan from Western Alliance Bank (see Note 6 to our Condensed Consolidated Financial Statements);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paid aggregate quarterly dividends to Valhi stockholders of $.24 per share ($6.7 million);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Kronos acquired shares of its common stock for an aggregate purchase price of $1.1 million;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CompX acquired shares of its Class A common stock for an aggregate purchase price of $ 1.7 million.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declaration and payment of future dividends, and the amount thereof, is discretionary and is dependent upon a number of factors including our current and future expected results of operations, financial condition, cash requirements for our businesses, contractual and other requirements and restrictions and other factors deemed relevant by our board of directors. The amount and timing of past dividends is not necessarily indicative of the amount or timing of any future dividends which might be paid. There are currently no contractual restrictions on the amount of dividends which we may pay. Distributions to noncontrolling interest in subsidiaries in the first nine months of 2022 are comprised of CompX dividends paid to shareholders other than NL and Kronos dividends paid to shareholders other than us and NL.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2022, our consolidated indebtedness was comprised of:</w:t>
      </w:r>
    </w:p>
    <w:p>
      <w:pPr>
        <w:spacing w:after="0" w:line="225" w:lineRule="exact"/>
        <w:rPr>
          <w:sz w:val="20"/>
          <w:szCs w:val="20"/>
          <w:color w:val="auto"/>
        </w:rPr>
      </w:pPr>
    </w:p>
    <w:p>
      <w:pPr>
        <w:ind w:left="100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Valhi’s $134.8 million outstanding on its $225 million credit facility with Contran which is due no earlier than December 31, 2023;</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€400 million aggregate outstanding on the KII 3.75% Senior Secured Notes ($390.2 million carrying amount, net of unamortized debt issuance costs) due in September 2025;</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$13.2 million on LandWell’s bank loan due in April 2036;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$2.0 million of other indebtedness.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Kronos had no outstanding borrowings at September 30, 2022 on its $225 million global revolving credit facility (“Global Revolver”) and approximately $207 million was available for borrowings thereunder. Kronos’ Senior Secured Notes and its Global Revolver contain a number of covenants and restrictions which, among other things, restrict its ability to incur or guarantee additional debt, incur liens, pay dividends or make other restricted payments, or merge or consolidate with, or sell or transfer substantially all 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its assets to, another entity, and contain other provisions and restrictive covenants customary in lending transactions of these types. Kronos’ credit agreements contain provisions which could result in the acceleration of indebtedness prior to their stated maturity for reasons other than defaults for failure to comply with typical financial or payment covenants. For example, the credit agreements allow the lender to accelerate the maturity of the indebtedness upon a change of control (as defined in the agreement) of the borrower. In addition, the credit agreements could result in the acceleration of all or a portion of the indebtedness following a sale of assets outside the ordinary course of business. The terms of all of our debt instruments are discussed in Note 9 in our 2021 Annual Report. We were in compliance with all of our debt covenants at September 30, 2022 and we believe we will be able to maintain compliance with the financial covenants contained in our debt obligations through their maturity.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Cash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primary source of liquidity on an ongoing basis is our cash flows from operating activities and borrowings under various lines of credit and notes. We generally use these amounts to (i) fund capital expenditures, (ii) repay short-term indebtedness incurred primarily for working capital purposes and (iii) provide for the payment of dividends (including dividends paid to us by our subsidiaries) or treasury stock purchases. From time-to-time we will incur indebtedness, generally to (i) fund short-term working capital needs,</w:t>
      </w:r>
    </w:p>
    <w:p>
      <w:pPr>
        <w:spacing w:after="0" w:line="1" w:lineRule="exact"/>
        <w:rPr>
          <w:sz w:val="20"/>
          <w:szCs w:val="20"/>
          <w:color w:val="auto"/>
        </w:rPr>
      </w:pPr>
    </w:p>
    <w:p>
      <w:pPr>
        <w:jc w:val="both"/>
        <w:ind w:firstLine="8"/>
        <w:spacing w:after="0" w:line="252" w:lineRule="auto"/>
        <w:tabs>
          <w:tab w:leader="none" w:pos="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refinance existing indebtedness, (iii) make investments in marketable and other securities (including the acquisition of securities issued by our subsidiaries and affiliates) or (iv) fund major capital expenditures or the acquisition of other assets outside the ordinary course of business. Occasionally we sell assets outside the ordinary course of business, and we generally use the proceeds to (i) repay existing indebtedness (including indebtedness which may have been collateralized by the assets sold), (ii) make investments in marketable and other securities, (iii) fund major capital expenditures or the acquisition of other assets outside the ordinary course of business or (iv) pay dividends.</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routinely compare our liquidity requirements and alternative uses of capital against the estimated future cash flows we expect to receive from our subsidiaries, and the estimated sales value of those units. As a result of this process, we have in the past sought, and may in the future seek, to raise additional capital, refinance or restructure indebtedness, repurchase indebtedness in the market or otherwise, modify our dividend policies, consider the sale of our interests in our subsidiaries, affiliates, business units, marketable securities or other assets, or take a combination of these and other steps, to increase liquidity, reduce indebtedness and fund future activities. Such activities have in the past and may in the future involve related companies. From time to time, we and our subsidiaries may enter into intercompany loans as a cash management tool. Such notes are structured as revolving demand notes and pay and receive interest on terms we believe are generally more favorable than current debt and investment market rates. The companies that borrow under these notes have sufficient liquidity to repay the notes. All of these notes and related interest expense and income are eliminated in our Condensed Consolidated Financial Statements.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periodically evaluate acquisitions of interests in or combinations with companies (including our affiliates) that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our expectations of our operating performance, and the anticipated demands on our cash resources, we expect to have sufficient liquidity to meet our short-term (defined as the twelve-month period ending September 30, 2023) and long-term obligations (defined as the five-year period ending September 30, 2027). If actual developments differ from our expectations, our liquidity could be adversely affected.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2022, we had $90.2 million available for borrowing under our credit facility with Contran. Amounts available under this facility are at Contran’s discretion. At September 30, 2022, approximately $207 million was available for borrowing under Kronos’ Global Revolver and Kronos could borrow all available amounts without violating its existing debt covenants. See Note 6 to our Condensed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At September 30, 2022, we had an aggregate of $669.6 million of restricted and unrestricted cash, cash equivalents and marketable securities, including $115.3 million held by our non-U.S. subsidiaries. A detail by entity is presented in the table below.</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2"/>
              </w:rPr>
              <w:t>Held outside</w:t>
            </w:r>
          </w:p>
        </w:tc>
      </w:tr>
      <w:tr>
        <w:trPr>
          <w:trHeight w:val="432"/>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amount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r>
      <w:tr>
        <w:trPr>
          <w:trHeight w:val="196"/>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right"/>
              <w:ind w:right="490"/>
              <w:spacing w:after="0" w:line="196" w:lineRule="exact"/>
              <w:rPr>
                <w:sz w:val="20"/>
                <w:szCs w:val="20"/>
                <w:color w:val="auto"/>
              </w:rPr>
            </w:pPr>
            <w:r>
              <w:rPr>
                <w:rFonts w:ascii="Arial" w:cs="Arial" w:eastAsia="Arial" w:hAnsi="Arial"/>
                <w:sz w:val="18"/>
                <w:szCs w:val="18"/>
                <w:b w:val="1"/>
                <w:bCs w:val="1"/>
                <w:color w:val="auto"/>
              </w:rPr>
              <w:t>(In millions)</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Kronos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CompX</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NL exclusive of its subsidiaries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BMI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Tremont exclusive of its subsidiaries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LandWell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Valhi exclusive of its subsidiaries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w w:val="93"/>
              </w:rPr>
              <w:t>Total cash and cash equivalents, restricted cash and marketable securities</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r>
              <w:rPr>
                <w:rFonts w:ascii="Arial" w:cs="Arial" w:eastAsia="Arial" w:hAnsi="Arial"/>
                <w:sz w:val="18"/>
                <w:szCs w:val="18"/>
                <w:u w:val="single" w:color="auto"/>
                <w:color w:val="auto"/>
              </w:rPr>
              <w:t>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Other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expect our aggregate capital expenditures for 2022 will be approximately $71 million as follows:</w:t>
      </w:r>
    </w:p>
    <w:p>
      <w:pPr>
        <w:spacing w:after="0" w:line="225" w:lineRule="exact"/>
        <w:rPr>
          <w:sz w:val="20"/>
          <w:szCs w:val="20"/>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$65 million by our Chemicals Segment;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 million by our Component Products Segment;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million by our Real Estate Management and Development Segment.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Capital spending for 2022 is expected to be funded through cash generated from operations or borrowing under our existing credit facilities. Planned capital expenditures for the remainder of 2022 at Kronos and CompX will primarily be to maintain and improve the cost-effectiveness of our facilities. It is possible we will delay planned capital projects based on market conditions including but not limited to expected demand, the general availability of materials, equipment and supplies necessary to complete such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Common Stock –</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Kronos and CompX have programs to repurchase common stock from time to time as market conditions permit. These stock repurchase programs do not include specific price targets or timetables and may be suspended at any time. Depending on market conditions, these programs may be terminated prior to completion. Cash on hand will be used to acquire the shares, and repurchased shares will be added to treasury shares and cancelled.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2022, Valhi had approximately .3 million shares available to repurchase under authorizations made by our board of directors.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Kronos’ board of directors previously authorized the repurchase of up to 2.0 million shares of its common stock in open market transactions, including block purchases, or in privately-negotiated transactions at unspecified prices and over an unspecified period of time. Kronos may repurchase its common stock from time to time as market conditions permit. During the first quarter of 2022, Kronos acquired 73,881 shares of its common stock in market transactions for an aggregate purchase price of $1.1 million. At September 30, 2022, approximately 1.5 million shares were available for repurchase under these authorizations.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CompX’s board of directors previously authorized the repurchase of its Class A common stock in open market transactions, including block purchases, or in privately-negotiated transactions at unspecified prices and over an unspecified period of time. During the second quarter of 2022, CompX acquired 78,900 shares of its Class A common stock for an aggregate amount of approximately $1.7 million. Of these shares, 70,000 shares were purchased in a market transaction, and 8,900 shares were purchased from two affiliates in two separate private transactions that were also approved in advance by CompX’s independent directors. During the first quarter of 2021, CompX purchased 50,000 shares of its Class A common stock in a market transaction for approximately $.8 million. At September 30, 2022, approximately .5 million shares were available for purchase under CompX’s prior repurchase authorizations.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quarter of 2022, NL purchased 2,000 shares of its common stock from Kronos for a nominal amount in a private transaction that was approved in advance by its independent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Because our operations are conducted primarily through subsidiaries and affiliates, our long-term ability to meet parent company level corporate obligations is largely dependent on the receipt of dividends or other distributions from our subsidiaries and affiliates. Kronos paid a regular dividend of $.18 per share in each quarter of 2021 for which we received $41.8 million. In February 2022 the Kronos board of directors approved a regular quarterly dividend of $.19 per share. If Kronos were to pay its $.19 per share dividend in each quarter of 2022 based on the 58.0 million shares we held of Kronos common stock at September 30, 2022, during 2022 we would receive aggregate regular dividends from Kronos of $44.1 million. NL paid a quarterly dividend of $.06 per share in 2021 for which we received $9.7 million. In March 2022 the NL board of directors approved a quarterly dividend of $.07 per share. If NL were to pay its $.07 per share dividend in each quarter of 2022 based on the 40.4 million shares we hold of NL common stock at September 30, 2022, during 2022 we would receive aggregate quarterly dividends from NL of $11.3 million. NL declared a special dividend of $.35 per share in August 2022, for which we received additional dividends from NL of $14.1 million. BMI and LandWell pay cash dividends from time to time, but the timing and amount of such dividends are uncertain. In this regard, we received aggregate dividends from BMI and LandWell of $74.8 million in 2021 and $8.7 million in the first nine months of 2022. We do not know if we will receive additional dividends from BMI and LandWell during 2022. All of our ownership interest in CompX is held through our ownership in NL; as such we do not receive any dividends from CompX. Instead any dividend paid by CompX is paid to NL.</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subsidiaries have various credit agreements with unrelated third-party lenders which contain customary limitations on the payment of dividends; however, these restrictions in the past have not significantly impacted their ability to pay dividends.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our Subsidiaries and Affiliates and Other Acquisitions –</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in the past, and may in the future, purchase the securities of our subsidiaries and affiliates or third parties in market or privately-negotiated transactions. We base our purchase decisions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do not guarantee any indebtedness or other obligations of our subsidiaries or affiliates. Our subsidiaries are not required to pay us dividends. If one or more of our subsidiaries were unable to maintain its current level of dividends, either due to restrictions contained in a credit agreement or to satisfy its liabilities or otherwise, our ability to service our liabilities or to pay dividends on our common stock could be adversely impacted. If this were to occur, we might consider reducing or eliminating our dividends or selling interests in subsidiaries or other assets. If we were required to liquidate assets to generate funds to satisfy our liabilities, we might be required to sell at less than what we believe is the long-term value of such assets.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Prior to 2021, we entered into a $50 million revolving credit facility with a subsidiary of NL secured with approximately 35.2 million shares of the common stock of Kronos held by NL’s subsidiary as collateral. Outstanding borrowings under the credit facility bear interest at the prime rate plus 1.875% per annum, payable quarterly, with all amounts due on December 31, 2023. The maximum principal amount which may be outstanding from time-to-time under the credit facility is limited to 50% of the value of the Kronos stock using the most recent closing price. The credit facility contains a number of covenants and restrictions which, among other things, restrict NL’s subsidiary’s ability to incur additional debt, incur liens, and merge or consolidate with, or sell or transfer substantially all of NL’s subsidiary’s assets to, another entity, and require NL’s subsidiary to maintain a minimum specified level of consolidated net worth. Upon an event of default (as defined in the credit facility), Valhi will be entitled to terminate its commitment to make further loans to NL’s subsidiary, declare the outstanding loans (with interest) immediately due and payable, and exercise its rights with respect to the collateral under the loan documents. Such collateral rights include, upon certain insolvency events with respect to NL’s subsidiary or NL, the right to purchase all of the Kronos common stock at a purchase price equal to the aggregate market value, less amounts owing to Valhi under the loan documents, and up to 50% of such purchase price may be paid by Valhi in the form of an unsecured promissory note bearing interest at the prime rate plus 2.75% per annum, payable quarterly, with all amounts due no later than five years from the date of purchase, with the remainder of such purchase price payable in cash at the date of purchase. We also eliminate any such intercompany borrowings in our Condensed Consolidated Financial Statements. There is $.5 million outstanding under this facility at September 30,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 unsecured revolving demand promissory note with Kronos which, as amended, provides for borrowings from Kronos of up to $30 million. We eliminate any such intercompany borrowings in our Condensed Consolidated Financial Statements. The facility, as amended, is due on demand, but in any event no earlier than December 31, 2023. We had no borrowings from Kronos under this facility during the first nine months of 2022, and there was no outstanding balance at September 30, 2022. We could borrow the full $30.0 million under our current intercompany facility with Kronos at September 30, 2022. Kronos’ obligation to loan us money under this note is at Kronos’ discretion.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have an unsecured revolving demand promissory note with CompX which, as amended, provides for borrowings from CompX of up to $30 million. We eliminate these intercompany borrowings in our Condensed Consolidated Financial Statements. The facility, as amended, is due on demand, but in any event no earlier than December 31, 2023. We had gross borrowings of $17.1 million and gross repayments of $21.1 million during the first nine months of 2022, and $14.7 million was outstanding at September 30, 2022. We could borrow $15.3 million under our current intercompany facility with CompX at September 30, 2022. CompX’s obligation to loan us money under this note is at CompX’s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in our contractual obligations since we filed our 2021 Annual Report and we refer you to that report for a complete description of these commitments.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are subject to certain commitments and contingencies, as more fully described in our 2021 Annual Report, or in Notes 12 and 15 to our Condensed Consolidated Financial Statements and in Part II, Item 1 of this Quarterly Report, including:</w:t>
      </w:r>
    </w:p>
    <w:p>
      <w:pPr>
        <w:spacing w:after="0" w:line="146" w:lineRule="exact"/>
        <w:rPr>
          <w:sz w:val="20"/>
          <w:szCs w:val="20"/>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income tax contingencies in various U.S. and non-U.S. jurisdictions;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environmental remediation matters involving NL and BMI;</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certain litigation related to NL’s former involvement in the manufacture of lead pigment and lead-based paint; and</w:t>
      </w:r>
    </w:p>
    <w:p>
      <w:pPr>
        <w:spacing w:after="0" w:line="236" w:lineRule="exact"/>
        <w:rPr>
          <w:rFonts w:ascii="Arial" w:cs="Arial" w:eastAsia="Arial" w:hAnsi="Arial"/>
          <w:sz w:val="17"/>
          <w:szCs w:val="17"/>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other litigation to which we are a party.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such legal proceedings, various legislation and administrative regulations have, from time to time, been proposed that seek to (i) impose various obligations on present and former manufacturers of lead pigment and lead-based paint (including NL) with respect to asserted health concerns associated with the use of such products and (ii) effectively overturn court decisions in which NL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have been no changes in the first nine months of 2022 with respect to our critical accounting policies presented in Management’s Discussion and Analysis of Financial Condition and Results of Operation in our 2021 Annual Report.</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are exposed to market risk, including currency exchange rates, interest rates and security prices, and raw material prices. There have been no material changes in these market risks since we filed our 2021 Annual Report, and refer you to Part I, Item 7A. </w:t>
      </w:r>
      <w:r>
        <w:rPr>
          <w:rFonts w:ascii="Arial" w:cs="Arial" w:eastAsia="Arial" w:hAnsi="Arial"/>
          <w:sz w:val="18"/>
          <w:szCs w:val="18"/>
          <w:i w:val="1"/>
          <w:iCs w:val="1"/>
          <w:color w:val="auto"/>
        </w:rPr>
        <w:t>–</w:t>
      </w:r>
      <w:r>
        <w:rPr>
          <w:rFonts w:ascii="Arial" w:cs="Arial" w:eastAsia="Arial" w:hAnsi="Arial"/>
          <w:sz w:val="18"/>
          <w:szCs w:val="18"/>
          <w:color w:val="auto"/>
        </w:rPr>
        <w:t xml:space="preserve"> “Quantitative and Qualitative Disclosure About Market Risk” in our 2021 Annual Report.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disclosure controls and procedures which, as defined in Exchange Act Rule 13a-15(e), means controls and other procedures that are designed to ensure that information required to be disclosed in the reports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Robert D. Graham, our Vice Chairman of the Board and Chief Executive Officer, and Amy Allbach Samford, our Executive Vice President and Chief Financial Officer, have evaluated the design and effectiveness of our disclosure controls and procedures as of September 30, 2022. Based upon their evaluation, these executive officers have concluded that our disclosure controls and procedures were effective as of the date of such evaluation.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1000" w:right="2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directors, and</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assets that could have a material effect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permitted by the SEC, our assessment of internal control over financial reporting excludes (i) internal control over financial reporting of equity method investees and (ii) internal control over the preparation of any financial statement schedules which would be required by Article 12 of Regulation S-X. However, our assessment of internal control over financial reporting with respect to equity method investees did include controls over the recording of amounts related to our investment that are recorded in the consolidated financial statements, including controls over the selection of accounting methods for our investments, the recognition of equity method earnings and losses and the determination, valuation and recording of our investment account balances.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to our internal control over financial reporting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to the matter discussed below, refer to Note 15 to our Condensed Consolidated Financial Statements, our March 31, 2022 and June 30, 2022 Quarterly Reports on Form 10-Q and our 2021 Annual Report for descriptions of certain legal proceedings.</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California Department of Toxic Substances v. NL Industries, Inc., et al. </w:t>
      </w:r>
      <w:r>
        <w:rPr>
          <w:rFonts w:ascii="Arial" w:cs="Arial" w:eastAsia="Arial" w:hAnsi="Arial"/>
          <w:sz w:val="16"/>
          <w:szCs w:val="16"/>
          <w:color w:val="auto"/>
        </w:rPr>
        <w:t>In October 2022, the trial court issued an order finding</w:t>
      </w:r>
      <w:r>
        <w:rPr>
          <w:rFonts w:ascii="Arial" w:cs="Arial" w:eastAsia="Arial" w:hAnsi="Arial"/>
          <w:sz w:val="16"/>
          <w:szCs w:val="16"/>
          <w:i w:val="1"/>
          <w:iCs w:val="1"/>
          <w:color w:val="auto"/>
        </w:rPr>
        <w:t xml:space="preserve"> </w:t>
      </w:r>
      <w:r>
        <w:rPr>
          <w:rFonts w:ascii="Arial" w:cs="Arial" w:eastAsia="Arial" w:hAnsi="Arial"/>
          <w:sz w:val="16"/>
          <w:szCs w:val="16"/>
          <w:color w:val="auto"/>
        </w:rPr>
        <w:t>that NL and the other defendants are not liable for lead contamination in residential neighborhoods surrounding, but at a distance from, the former secondary lead smelter. The case will continue with regard to the former smelter property and an adjacent industrial area.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the risk factors related to our businesses, please refer to Part I, Item 1A, “Risk Factors,” in our 2021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No.</w:t>
            </w:r>
          </w:p>
        </w:tc>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480" w:type="dxa"/>
            <w:vAlign w:val="bottom"/>
            <w:gridSpan w:val="2"/>
          </w:tcPr>
          <w:p>
            <w:pPr>
              <w:spacing w:after="0"/>
              <w:rPr>
                <w:sz w:val="20"/>
                <w:szCs w:val="20"/>
                <w:color w:val="auto"/>
              </w:rPr>
            </w:pPr>
            <w:r>
              <w:rPr>
                <w:rFonts w:ascii="Arial" w:cs="Arial" w:eastAsia="Arial" w:hAnsi="Arial"/>
                <w:sz w:val="18"/>
                <w:szCs w:val="18"/>
                <w:color w:val="0000EE"/>
              </w:rPr>
              <w:t>Certification</w:t>
            </w:r>
          </w:p>
        </w:tc>
      </w:tr>
      <w:tr>
        <w:trPr>
          <w:trHeight w:val="20"/>
        </w:trPr>
        <w:tc>
          <w:tcPr>
            <w:tcW w:w="10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480" w:type="dxa"/>
            <w:vAlign w:val="bottom"/>
            <w:gridSpan w:val="2"/>
          </w:tcPr>
          <w:p>
            <w:pPr>
              <w:spacing w:after="0"/>
              <w:rPr>
                <w:sz w:val="20"/>
                <w:szCs w:val="20"/>
                <w:color w:val="auto"/>
              </w:rPr>
            </w:pPr>
            <w:r>
              <w:rPr>
                <w:rFonts w:ascii="Arial" w:cs="Arial" w:eastAsia="Arial" w:hAnsi="Arial"/>
                <w:sz w:val="18"/>
                <w:szCs w:val="18"/>
                <w:color w:val="0000EE"/>
              </w:rPr>
              <w:t>Certification</w:t>
            </w:r>
          </w:p>
        </w:tc>
      </w:tr>
      <w:tr>
        <w:trPr>
          <w:trHeight w:val="20"/>
        </w:trPr>
        <w:tc>
          <w:tcPr>
            <w:tcW w:w="10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480" w:type="dxa"/>
            <w:vAlign w:val="bottom"/>
            <w:gridSpan w:val="2"/>
          </w:tcPr>
          <w:p>
            <w:pPr>
              <w:spacing w:after="0"/>
              <w:rPr>
                <w:sz w:val="20"/>
                <w:szCs w:val="20"/>
                <w:color w:val="auto"/>
              </w:rPr>
            </w:pPr>
            <w:r>
              <w:rPr>
                <w:rFonts w:ascii="Arial" w:cs="Arial" w:eastAsia="Arial" w:hAnsi="Arial"/>
                <w:sz w:val="18"/>
                <w:szCs w:val="18"/>
                <w:color w:val="0000EE"/>
              </w:rPr>
              <w:t>Certification</w:t>
            </w:r>
          </w:p>
        </w:tc>
      </w:tr>
      <w:tr>
        <w:trPr>
          <w:trHeight w:val="20"/>
        </w:trPr>
        <w:tc>
          <w:tcPr>
            <w:tcW w:w="10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8480" w:type="dxa"/>
            <w:vAlign w:val="bottom"/>
            <w:gridSpan w:val="2"/>
          </w:tcPr>
          <w:p>
            <w:pPr>
              <w:spacing w:after="0"/>
              <w:rPr>
                <w:sz w:val="20"/>
                <w:szCs w:val="20"/>
                <w:color w:val="auto"/>
              </w:rPr>
            </w:pPr>
            <w:r>
              <w:rPr>
                <w:rFonts w:ascii="Arial" w:cs="Arial" w:eastAsia="Arial" w:hAnsi="Arial"/>
                <w:sz w:val="18"/>
                <w:szCs w:val="18"/>
                <w:color w:val="auto"/>
                <w:w w:val="90"/>
              </w:rPr>
              <w:t>Inline XBRL Instance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848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848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848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848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848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1080" w:hanging="1071"/>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960"/>
              <w:spacing w:after="0"/>
              <w:rPr>
                <w:sz w:val="20"/>
                <w:szCs w:val="20"/>
                <w:color w:val="auto"/>
              </w:rPr>
            </w:pPr>
            <w:r>
              <w:rPr>
                <w:rFonts w:ascii="Arial" w:cs="Arial" w:eastAsia="Arial" w:hAnsi="Arial"/>
                <w:sz w:val="18"/>
                <w:szCs w:val="18"/>
                <w:b w:val="1"/>
                <w:bCs w:val="1"/>
                <w:color w:val="auto"/>
              </w:rPr>
              <w:t>VALHI, INC.</w:t>
            </w:r>
          </w:p>
        </w:tc>
      </w:tr>
      <w:tr>
        <w:trPr>
          <w:trHeight w:val="234"/>
        </w:trPr>
        <w:tc>
          <w:tcPr>
            <w:tcW w:w="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ind w:left="2020"/>
              <w:spacing w:after="0"/>
              <w:rPr>
                <w:sz w:val="20"/>
                <w:szCs w:val="20"/>
                <w:color w:val="auto"/>
              </w:rPr>
            </w:pPr>
            <w:r>
              <w:rPr>
                <w:rFonts w:ascii="Arial" w:cs="Arial" w:eastAsia="Arial" w:hAnsi="Arial"/>
                <w:sz w:val="18"/>
                <w:szCs w:val="18"/>
                <w:b w:val="1"/>
                <w:bCs w:val="1"/>
                <w:color w:val="auto"/>
              </w:rPr>
              <w:t>(Registrant)</w:t>
            </w:r>
          </w:p>
        </w:tc>
      </w:tr>
      <w:tr>
        <w:trPr>
          <w:trHeight w:val="864"/>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3, 2022</w:t>
            </w:r>
          </w:p>
        </w:tc>
        <w:tc>
          <w:tcPr>
            <w:tcW w:w="18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Allbach Samford</w:t>
            </w:r>
          </w:p>
        </w:tc>
      </w:tr>
      <w:tr>
        <w:trPr>
          <w:trHeight w:val="195"/>
        </w:trPr>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Amy Allbach Samford</w:t>
            </w:r>
          </w:p>
        </w:tc>
      </w:tr>
      <w:tr>
        <w:trPr>
          <w:trHeight w:val="230"/>
        </w:trPr>
        <w:tc>
          <w:tcPr>
            <w:tcW w:w="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864"/>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3, 2022</w:t>
            </w:r>
          </w:p>
        </w:tc>
        <w:tc>
          <w:tcPr>
            <w:tcW w:w="18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Patty S. Brinda</w:t>
            </w:r>
          </w:p>
        </w:tc>
      </w:tr>
      <w:tr>
        <w:trPr>
          <w:trHeight w:val="195"/>
        </w:trPr>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Patty S. Brinda</w:t>
            </w:r>
          </w:p>
        </w:tc>
      </w:tr>
      <w:tr>
        <w:trPr>
          <w:trHeight w:val="230"/>
        </w:trPr>
        <w:tc>
          <w:tcPr>
            <w:tcW w:w="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President and Controller)</w:t>
            </w:r>
          </w:p>
        </w:tc>
      </w:tr>
      <w:tr>
        <w:trPr>
          <w:trHeight w:val="769"/>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140" w:type="dxa"/>
            <w:vAlign w:val="bottom"/>
            <w:gridSpan w:val="2"/>
          </w:tcPr>
          <w:p>
            <w:pPr>
              <w:jc w:val="right"/>
              <w:ind w:right="4770"/>
              <w:spacing w:after="0"/>
              <w:rPr>
                <w:sz w:val="20"/>
                <w:szCs w:val="20"/>
                <w:color w:val="auto"/>
              </w:rPr>
            </w:pPr>
            <w:r>
              <w:rPr>
                <w:rFonts w:ascii="Arial" w:cs="Arial" w:eastAsia="Arial" w:hAnsi="Arial"/>
                <w:sz w:val="18"/>
                <w:szCs w:val="18"/>
                <w:color w:val="auto"/>
              </w:rPr>
              <w:t>44</w:t>
            </w:r>
          </w:p>
        </w:tc>
      </w:tr>
      <w:tr>
        <w:trPr>
          <w:trHeight w:val="547"/>
        </w:trPr>
        <w:tc>
          <w:tcPr>
            <w:tcW w:w="7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Graham, certify that:</w:t>
      </w:r>
    </w:p>
    <w:p>
      <w:pPr>
        <w:spacing w:after="0" w:line="18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Valhi,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Robert D.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D.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Valhi,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Valhi, Inc. (the “Company”) on Form 10-Q for the quarter ended September 30, 2022 as filed with the Securities and Exchange Commission on the date hereof (the “Report”), we, Robert D. Graham, Vice Chairman of the Board and Chief Executive Officer, and Amy A. Samford, Executive Vice President and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700" w:hanging="251"/>
        <w:spacing w:after="0"/>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firstLine="449"/>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 Robert D. Graham</w:t>
            </w:r>
          </w:p>
        </w:tc>
        <w:tc>
          <w:tcPr>
            <w:tcW w:w="4880" w:type="dxa"/>
            <w:vAlign w:val="bottom"/>
          </w:tcPr>
          <w:p>
            <w:pPr>
              <w:spacing w:after="0"/>
              <w:rPr>
                <w:sz w:val="20"/>
                <w:szCs w:val="20"/>
                <w:color w:val="auto"/>
              </w:rPr>
            </w:pPr>
            <w:r>
              <w:rPr>
                <w:rFonts w:ascii="Arial" w:cs="Arial" w:eastAsia="Arial" w:hAnsi="Arial"/>
                <w:sz w:val="18"/>
                <w:szCs w:val="18"/>
                <w:color w:val="auto"/>
              </w:rPr>
              <w:t>/s/ Amy A. Samford</w:t>
            </w:r>
          </w:p>
        </w:tc>
      </w:tr>
      <w:tr>
        <w:trPr>
          <w:trHeight w:val="195"/>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Graham</w:t>
            </w:r>
          </w:p>
        </w:tc>
        <w:tc>
          <w:tcPr>
            <w:tcW w:w="240" w:type="dxa"/>
            <w:vAlign w:val="bottom"/>
          </w:tcPr>
          <w:p>
            <w:pPr>
              <w:spacing w:after="0"/>
              <w:rPr>
                <w:sz w:val="16"/>
                <w:szCs w:val="16"/>
                <w:color w:val="auto"/>
              </w:rPr>
            </w:pP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Amy A. Samford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Vice Chairman of the Board and Chief Executive Officer</w:t>
            </w:r>
          </w:p>
        </w:tc>
        <w:tc>
          <w:tcPr>
            <w:tcW w:w="48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November 3, 2022</w:t>
            </w:r>
          </w:p>
        </w:tc>
        <w:tc>
          <w:tcPr>
            <w:tcW w:w="4880" w:type="dxa"/>
            <w:vAlign w:val="bottom"/>
          </w:tcPr>
          <w:p>
            <w:pPr>
              <w:spacing w:after="0"/>
              <w:rPr>
                <w:sz w:val="20"/>
                <w:szCs w:val="20"/>
                <w:color w:val="auto"/>
              </w:rPr>
            </w:pPr>
            <w:r>
              <w:rPr>
                <w:rFonts w:ascii="Arial" w:cs="Arial" w:eastAsia="Arial" w:hAnsi="Arial"/>
                <w:sz w:val="18"/>
                <w:szCs w:val="18"/>
                <w:color w:val="auto"/>
              </w:rPr>
              <w:t>November 3, 2022</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Roman"/>
      <w:start w:val="2"/>
    </w:lvl>
  </w:abstractNum>
  <w:abstractNum w:abstractNumId="3">
    <w:nsid w:val="628C895D"/>
    <w:multiLevelType w:val="hybridMultilevel"/>
    <w:lvl w:ilvl="0">
      <w:lvlJc w:val="left"/>
      <w:lvlText w:val="(%1)"/>
      <w:numFmt w:val="lowerRoman"/>
      <w:start w:val="4"/>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2"/>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0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2022-11-03T16:21:39Z</dcterms:created>
  <dcterms:modified xsi:type="dcterms:W3CDTF">2022-11-03T16:21:39Z</dcterms:modified>
</cp:coreProperties>
</file>