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vhl-20260331x10q.htm"/>
        <w:bookmarkStart w:id="1" w:name="ksvhl20260331x10q"/>
        <w:bookmarkEnd w:id="0"/>
        <w:bookmarkEnd w:id="1"/>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
                <wp:simplePos x="0" y="0"/>
                <wp:positionH relativeFrom="page">
                  <wp:posOffset>0</wp:posOffset>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pBdr>
          <w:top w:val="single" w:sz="24" w:space="1" w:color="000000"/>
          <w:bottom w:val="single" w:sz="8" w:space="1" w:color="000000"/>
        </w:pBdr>
        <w:bidi w:val="0"/>
        <w:spacing w:before="0" w:after="0"/>
        <w:ind w:left="0" w:right="0" w:hanging="0"/>
        <w:jc w:val="left"/>
        <w:rPr>
          <w:rFonts w:ascii="Times New Roman;Times;serif" w:hAnsi="Times New Roman;Times;serif"/>
          <w:sz w:val="2"/>
        </w:rPr>
      </w:pPr>
      <w:r>
        <w:rPr>
          <w:rFonts w:ascii="Times New Roman;Times;serif" w:hAnsi="Times New Roman;Times;serif"/>
          <w:sz w:val="2"/>
        </w:rPr>
        <w:t>as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2"/>
        </w:rPr>
      </w:pPr>
      <w:bookmarkStart w:id="2" w:name="_6baf9d7a_b1c0_43d1_8279_be28e09c0c6b"/>
      <w:bookmarkEnd w:id="2"/>
      <w:r>
        <w:rPr>
          <w:rFonts w:ascii="Times New Roman;Times;serif" w:hAnsi="Times New Roman;Times;serif"/>
          <w:b/>
          <w:sz w:val="32"/>
        </w:rPr>
        <w:t>UNITED STATES</w:t>
      </w:r>
    </w:p>
    <w:p>
      <w:pPr>
        <w:pStyle w:val="TextBody"/>
        <w:bidi w:val="0"/>
        <w:spacing w:before="0" w:after="2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20"/>
        <w:ind w:left="0" w:right="0" w:hanging="0"/>
        <w:jc w:val="center"/>
        <w:rPr>
          <w:rFonts w:ascii="Times New Roman;Times;serif" w:hAnsi="Times New Roman;Times;serif"/>
          <w:b/>
          <w:sz w:val="32"/>
        </w:rPr>
      </w:pPr>
      <w:r>
        <w:rPr>
          <w:rFonts w:ascii="Times New Roman;Times;serif" w:hAnsi="Times New Roman;Times;serif"/>
          <w:b/>
          <w:sz w:val="32"/>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center"/>
        <w:rPr/>
      </w:pPr>
      <w:r>
        <w:rPr/>
        <w:t>☒  </w:t>
      </w:r>
      <w:r>
        <w:rPr>
          <w:rFonts w:ascii="Times New Roman;Times;serif" w:hAnsi="Times New Roman;Times;serif"/>
          <w:b/>
          <w:sz w:val="24"/>
        </w:rPr>
        <w:t>QUARTERLY REPORT PURSUANT TO SECTION 13 OR 15(d) OF</w:t>
      </w:r>
    </w:p>
    <w:p>
      <w:pPr>
        <w:pStyle w:val="TextBody"/>
        <w:bidi w:val="0"/>
        <w:spacing w:before="0" w:after="2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2026</w:t>
      </w:r>
    </w:p>
    <w:p>
      <w:pPr>
        <w:pStyle w:val="TextBody"/>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  </w:t>
      </w:r>
      <w:r>
        <w:rPr>
          <w:rFonts w:ascii="Times New Roman;Times;serif" w:hAnsi="Times New Roman;Times;serif"/>
          <w:b/>
          <w:sz w:val="24"/>
        </w:rPr>
        <w:t>TRANSITION REPORT PURSUANT TO SECTION 13 OR 15(d) OF</w:t>
      </w:r>
    </w:p>
    <w:p>
      <w:pPr>
        <w:pStyle w:val="TextBody"/>
        <w:bidi w:val="0"/>
        <w:spacing w:before="0" w:after="2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1-5467</w:t>
      </w:r>
    </w:p>
    <w:p>
      <w:pPr>
        <w:pStyle w:val="TextBody"/>
        <w:bidi w:val="0"/>
        <w:spacing w:before="0" w:after="40"/>
        <w:ind w:left="0" w:right="0" w:hanging="0"/>
        <w:jc w:val="center"/>
        <w:rPr>
          <w:rFonts w:ascii="Times New Roman;Times;serif" w:hAnsi="Times New Roman;Times;serif"/>
          <w:b/>
          <w:sz w:val="40"/>
        </w:rPr>
      </w:pPr>
      <w:r>
        <w:rPr>
          <w:rFonts w:ascii="Times New Roman;Times;serif" w:hAnsi="Times New Roman;Times;serif"/>
          <w:b/>
          <w:sz w:val="40"/>
        </w:rPr>
        <w:t>VALHI,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wsG9pMvDR0uibuxfDuMKcA_2_2"/>
      <w:bookmarkStart w:id="4" w:name="Tc_wH65iWM4s0-kwM8X28lUfg_2_0"/>
      <w:bookmarkStart w:id="5" w:name="_8d9abcd6_340c_4a27_bbd7_eb57ccbd047d"/>
      <w:bookmarkStart w:id="6" w:name="Tc_wsG9pMvDR0uibuxfDuMKcA_2_2"/>
      <w:bookmarkStart w:id="7" w:name="Tc_wH65iWM4s0-kwM8X28lUfg_2_0"/>
      <w:bookmarkStart w:id="8" w:name="_8d9abcd6_340c_4a27_bbd7_eb57ccbd047d"/>
      <w:bookmarkEnd w:id="6"/>
      <w:bookmarkEnd w:id="7"/>
      <w:bookmarkEnd w:id="8"/>
    </w:p>
    <w:tbl>
      <w:tblPr>
        <w:tblW w:w="4773" w:type="dxa"/>
        <w:jc w:val="left"/>
        <w:tblInd w:w="0" w:type="dxa"/>
        <w:tblLayout w:type="fixed"/>
        <w:tblCellMar>
          <w:top w:w="0" w:type="dxa"/>
          <w:left w:w="0" w:type="dxa"/>
          <w:bottom w:w="0" w:type="dxa"/>
          <w:right w:w="0" w:type="dxa"/>
        </w:tblCellMar>
      </w:tblPr>
      <w:tblGrid>
        <w:gridCol w:w="2746"/>
        <w:gridCol w:w="346"/>
        <w:gridCol w:w="1681"/>
      </w:tblGrid>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left"/>
              <w:rPr/>
            </w:pPr>
            <w:r>
              <w:rPr/>
              <w:t>  ​ ​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87-0110150</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r>
          </w:p>
          <w:p>
            <w:pPr>
              <w:pStyle w:val="TableContents"/>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incorporation or organization)</w:t>
            </w:r>
          </w:p>
        </w:tc>
        <w:tc>
          <w:tcPr>
            <w:tcW w:w="346" w:type="dxa"/>
            <w:tcBorders/>
            <w:vAlign w:val="center"/>
          </w:tcPr>
          <w:p>
            <w:pPr>
              <w:pStyle w:val="TableContents"/>
              <w:bidi w:val="0"/>
              <w:spacing w:before="0" w:after="24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Identification No.)</w:t>
            </w:r>
          </w:p>
        </w:tc>
      </w:tr>
    </w:tbl>
    <w:p>
      <w:pPr>
        <w:pStyle w:val="TextBody"/>
        <w:bidi w:val="0"/>
        <w:spacing w:before="80" w:after="0"/>
        <w:ind w:left="0" w:right="0" w:hanging="0"/>
        <w:jc w:val="center"/>
        <w:rPr>
          <w:rFonts w:ascii="Times New Roman;Times;serif" w:hAnsi="Times New Roman;Times;serif"/>
          <w:b/>
          <w:sz w:val="20"/>
        </w:rPr>
      </w:pPr>
      <w:r>
        <w:rPr>
          <w:rFonts w:ascii="Times New Roman;Times;serif" w:hAnsi="Times New Roman;Times;serif"/>
          <w:b/>
          <w:sz w:val="20"/>
        </w:rPr>
        <w:t>5430 LBJ Freeway, Suite 1700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Dallas, Texas</w:t>
      </w:r>
      <w:r>
        <w:rPr>
          <w:rFonts w:ascii="Times New Roman;Times;serif" w:hAnsi="Times New Roman;Times;serif"/>
          <w:sz w:val="20"/>
        </w:rPr>
        <w:t xml:space="preserve"> </w:t>
      </w:r>
      <w:r>
        <w:rPr>
          <w:rFonts w:ascii="Times New Roman;Times;serif" w:hAnsi="Times New Roman;Times;serif"/>
          <w:b/>
          <w:sz w:val="20"/>
        </w:rPr>
        <w:t>75240-2620</w:t>
      </w:r>
    </w:p>
    <w:p>
      <w:pPr>
        <w:pStyle w:val="TextBody"/>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(972) 233-1700</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9" w:name="Tc_pvarWtMU_06NbSb2DEbBvA_1_4"/>
      <w:bookmarkStart w:id="10" w:name="Tc_On5_O-RhXUyKTglSzcQMfg_1_2"/>
      <w:bookmarkStart w:id="11" w:name="Tc_yL529zoH8ku3zGTxe3WHiA_1_0"/>
      <w:bookmarkStart w:id="12" w:name="_01a0c861_8acd_4eda_8cd2_79d4604f7a55"/>
      <w:bookmarkStart w:id="13" w:name="Tc_pvarWtMU_06NbSb2DEbBvA_1_4"/>
      <w:bookmarkStart w:id="14" w:name="Tc_On5_O-RhXUyKTglSzcQMfg_1_2"/>
      <w:bookmarkStart w:id="15" w:name="Tc_yL529zoH8ku3zGTxe3WHiA_1_0"/>
      <w:bookmarkStart w:id="16" w:name="_01a0c861_8acd_4eda_8cd2_79d4604f7a55"/>
      <w:bookmarkEnd w:id="13"/>
      <w:bookmarkEnd w:id="14"/>
      <w:bookmarkEnd w:id="15"/>
      <w:bookmarkEnd w:id="16"/>
    </w:p>
    <w:tbl>
      <w:tblPr>
        <w:tblW w:w="7190" w:type="dxa"/>
        <w:jc w:val="left"/>
        <w:tblInd w:w="0" w:type="dxa"/>
        <w:tblLayout w:type="fixed"/>
        <w:tblCellMar>
          <w:top w:w="0" w:type="dxa"/>
          <w:left w:w="0" w:type="dxa"/>
          <w:bottom w:w="0" w:type="dxa"/>
          <w:right w:w="0" w:type="dxa"/>
        </w:tblCellMar>
      </w:tblPr>
      <w:tblGrid>
        <w:gridCol w:w="1456"/>
        <w:gridCol w:w="346"/>
        <w:gridCol w:w="1561"/>
        <w:gridCol w:w="346"/>
        <w:gridCol w:w="3481"/>
      </w:tblGrid>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0"/>
              <w:ind w:left="0" w:right="0" w:hanging="0"/>
              <w:jc w:val="left"/>
              <w:rPr/>
            </w:pPr>
            <w:r>
              <w:rPr/>
              <w:t>​</w:t>
            </w:r>
          </w:p>
        </w:tc>
      </w:tr>
      <w:tr>
        <w:trPr/>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vAlign w:val="center"/>
          </w:tcPr>
          <w:p>
            <w:pPr>
              <w:pStyle w:val="TableContents"/>
              <w:bidi w:val="0"/>
              <w:spacing w:before="0" w:after="0"/>
              <w:ind w:left="0" w:right="0" w:hanging="0"/>
              <w:jc w:val="center"/>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vAlign w:val="center"/>
          </w:tcPr>
          <w:p>
            <w:pPr>
              <w:pStyle w:val="TableContents"/>
              <w:bidi w:val="0"/>
              <w:spacing w:before="0" w:after="0"/>
              <w:ind w:left="0" w:right="0" w:hanging="0"/>
              <w:jc w:val="center"/>
              <w:rPr/>
            </w:pPr>
            <w:r>
              <w:rPr/>
              <w:t>  ​ ​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14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w:t>
            </w:r>
          </w:p>
        </w:tc>
        <w:tc>
          <w:tcPr>
            <w:tcW w:w="346" w:type="dxa"/>
            <w:tcBorders/>
            <w:vAlign w:val="center"/>
          </w:tcPr>
          <w:p>
            <w:pPr>
              <w:pStyle w:val="TableContents"/>
              <w:bidi w:val="0"/>
              <w:spacing w:before="0" w:after="240"/>
              <w:ind w:left="0" w:right="0" w:hanging="0"/>
              <w:jc w:val="center"/>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VHI</w:t>
            </w:r>
          </w:p>
        </w:tc>
        <w:tc>
          <w:tcPr>
            <w:tcW w:w="346" w:type="dxa"/>
            <w:tcBorders/>
            <w:vAlign w:val="center"/>
          </w:tcPr>
          <w:p>
            <w:pPr>
              <w:pStyle w:val="TableContents"/>
              <w:bidi w:val="0"/>
              <w:spacing w:before="0" w:after="240"/>
              <w:ind w:left="0" w:right="0" w:hanging="0"/>
              <w:jc w:val="center"/>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w:t>
            </w:r>
          </w:p>
        </w:tc>
      </w:tr>
    </w:tbl>
    <w:p>
      <w:pPr>
        <w:pStyle w:val="TextBody"/>
        <w:bidi w:val="0"/>
        <w:spacing w:lineRule="auto" w:line="144" w:before="0" w:after="0"/>
        <w:ind w:left="0" w:right="0" w:hanging="0"/>
        <w:jc w:val="left"/>
        <w:rPr/>
      </w:pPr>
      <w:r>
        <w:rPr/>
        <w:t>​</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b/>
          <w:sz w:val="20"/>
        </w:rPr>
        <w:t>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IgymkocJgkWjWyrzaNbm6A_3_0"/>
      <w:bookmarkStart w:id="18" w:name="Tc_-fsFd7PPWkeLVxUVpmz4IA_2_5"/>
      <w:bookmarkStart w:id="19" w:name="Tc_VvrLMieRLkKjFQURfOgqug_2_2"/>
      <w:bookmarkStart w:id="20" w:name="Tc_jAdcntJZvUCx2YFZ0paHLA_1_7"/>
      <w:bookmarkStart w:id="21" w:name="Tc_HZL5UDqhK0iCI8g_b5uxwA_1_5"/>
      <w:bookmarkStart w:id="22" w:name="Tc_PTjtAga4AkCyfcJL4qs36w_1_2"/>
      <w:bookmarkStart w:id="23" w:name="Tc_lGxLGWL8TkOaFY_He7YoAQ_1_0"/>
      <w:bookmarkStart w:id="24" w:name="_861da549_fe2a_42f0_b4e5_c2a2aa2b8993"/>
      <w:bookmarkStart w:id="25" w:name="Tc_IgymkocJgkWjWyrzaNbm6A_3_0"/>
      <w:bookmarkStart w:id="26" w:name="Tc_-fsFd7PPWkeLVxUVpmz4IA_2_5"/>
      <w:bookmarkStart w:id="27" w:name="Tc_VvrLMieRLkKjFQURfOgqug_2_2"/>
      <w:bookmarkStart w:id="28" w:name="Tc_jAdcntJZvUCx2YFZ0paHLA_1_7"/>
      <w:bookmarkStart w:id="29" w:name="Tc_HZL5UDqhK0iCI8g_b5uxwA_1_5"/>
      <w:bookmarkStart w:id="30" w:name="Tc_PTjtAga4AkCyfcJL4qs36w_1_2"/>
      <w:bookmarkStart w:id="31" w:name="Tc_lGxLGWL8TkOaFY_He7YoAQ_1_0"/>
      <w:bookmarkStart w:id="32" w:name="_861da549_fe2a_42f0_b4e5_c2a2aa2b8993"/>
      <w:bookmarkEnd w:id="25"/>
      <w:bookmarkEnd w:id="26"/>
      <w:bookmarkEnd w:id="27"/>
      <w:bookmarkEnd w:id="28"/>
      <w:bookmarkEnd w:id="29"/>
      <w:bookmarkEnd w:id="30"/>
      <w:bookmarkEnd w:id="31"/>
      <w:bookmarkEnd w:id="32"/>
    </w:p>
    <w:tbl>
      <w:tblPr>
        <w:tblW w:w="6211" w:type="dxa"/>
        <w:jc w:val="left"/>
        <w:tblInd w:w="0" w:type="dxa"/>
        <w:tblLayout w:type="fixed"/>
        <w:tblCellMar>
          <w:top w:w="0" w:type="dxa"/>
          <w:left w:w="0" w:type="dxa"/>
          <w:bottom w:w="0" w:type="dxa"/>
          <w:right w:w="0" w:type="dxa"/>
        </w:tblCellMar>
      </w:tblPr>
      <w:tblGrid>
        <w:gridCol w:w="2446"/>
        <w:gridCol w:w="146"/>
        <w:gridCol w:w="316"/>
        <w:gridCol w:w="109"/>
        <w:gridCol w:w="226"/>
        <w:gridCol w:w="2461"/>
        <w:gridCol w:w="146"/>
        <w:gridCol w:w="361"/>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553210" cy="175260"/>
                      <wp:effectExtent l="0" t="0" r="0" b="0"/>
                      <wp:wrapNone/>
                      <wp:docPr id="2" name="Frame2"/>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2710" cy="175260"/>
                      <wp:effectExtent l="0" t="0" r="0" b="0"/>
                      <wp:wrapNone/>
                      <wp:docPr id="3" name="Frame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0660" cy="175260"/>
                      <wp:effectExtent l="0" t="0" r="0" b="0"/>
                      <wp:wrapNone/>
                      <wp:docPr id="4" name="Frame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175260"/>
                      <wp:effectExtent l="0" t="0" r="0" b="0"/>
                      <wp:wrapNone/>
                      <wp:docPr id="5" name="Frame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3510" cy="175260"/>
                      <wp:effectExtent l="0" t="0" r="0" b="0"/>
                      <wp:wrapNone/>
                      <wp:docPr id="6" name="Frame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562735" cy="175260"/>
                      <wp:effectExtent l="0" t="0" r="0" b="0"/>
                      <wp:wrapNone/>
                      <wp:docPr id="7" name="Frame7"/>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2710" cy="175260"/>
                      <wp:effectExtent l="0" t="0" r="0" b="0"/>
                      <wp:wrapNone/>
                      <wp:docPr id="8" name="Frame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29235" cy="175260"/>
                      <wp:effectExtent l="0" t="0" r="0" b="0"/>
                      <wp:wrapNone/>
                      <wp:docPr id="9" name="Frame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Large accelerated filer</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24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Accelerated filer</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Non-accelerated filer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24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Smaller reporting company</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Emerging growth company</w:t>
            </w:r>
          </w:p>
        </w:tc>
        <w:tc>
          <w:tcPr>
            <w:tcW w:w="14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26" w:type="dxa"/>
            <w:tcBorders/>
            <w:vAlign w:val="center"/>
          </w:tcPr>
          <w:p>
            <w:pPr>
              <w:pStyle w:val="TableContents"/>
              <w:bidi w:val="0"/>
              <w:spacing w:before="0" w:after="240"/>
              <w:ind w:left="0" w:right="0" w:hanging="0"/>
              <w:jc w:val="left"/>
              <w:rPr/>
            </w:pPr>
            <w:r>
              <w:rPr/>
              <w:t>​</w:t>
            </w:r>
          </w:p>
        </w:tc>
        <w:tc>
          <w:tcPr>
            <w:tcW w:w="2461" w:type="dxa"/>
            <w:tcBorders/>
            <w:vAlign w:val="center"/>
          </w:tcPr>
          <w:p>
            <w:pPr>
              <w:pStyle w:val="TableContents"/>
              <w:bidi w:val="0"/>
              <w:spacing w:before="0" w:after="240"/>
              <w:ind w:left="0" w:right="0" w:hanging="0"/>
              <w:jc w:val="left"/>
              <w:rPr/>
            </w:pPr>
            <w:r>
              <w:rPr/>
              <w:t>​</w:t>
            </w:r>
          </w:p>
        </w:tc>
        <w:tc>
          <w:tcPr>
            <w:tcW w:w="14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bl>
    <w:p>
      <w:pPr>
        <w:pStyle w:val="TextBody"/>
        <w:bidi w:val="0"/>
        <w:spacing w:lineRule="auto" w:line="144" w:before="0" w:after="0"/>
        <w:ind w:left="0" w:right="0" w:hanging="0"/>
        <w:jc w:val="left"/>
        <w:rPr/>
      </w:pPr>
      <w:r>
        <w:rPr/>
        <w:t>​</w:t>
      </w:r>
    </w:p>
    <w:p>
      <w:pPr>
        <w:pStyle w:val="TextBody"/>
        <w:bidi w:val="0"/>
        <w:spacing w:before="0" w:after="40"/>
        <w:ind w:left="0" w:right="0" w:hanging="0"/>
        <w:jc w:val="left"/>
        <w:rPr>
          <w:rFonts w:ascii="Times New Roman;Times;serif" w:hAnsi="Times New Roman;Times;serif"/>
          <w:sz w:val="18"/>
        </w:rPr>
      </w:pPr>
      <w:r>
        <w:rPr>
          <w:rFonts w:ascii="Times New Roman;Times;serif" w:hAnsi="Times New Roman;Times;serif"/>
          <w:b/>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b/>
          <w:sz w:val="18"/>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b/>
          <w:sz w:val="18"/>
        </w:rPr>
        <w:t>No  </w:t>
      </w:r>
      <w:r>
        <w:rPr>
          <w:rFonts w:ascii="Times New Roman;Times;serif" w:hAnsi="Times New Roman;Times;serif"/>
          <w:sz w:val="20"/>
        </w:rPr>
        <w:t>☒</w:t>
      </w:r>
      <w:r>
        <w:rPr>
          <w:rFonts w:ascii="Times New Roman;Times;serif" w:hAnsi="Times New Roman;Times;serif"/>
          <w:b/>
          <w:sz w:val="18"/>
        </w:rPr>
        <w:t>.</w:t>
      </w:r>
    </w:p>
    <w:p>
      <w:pPr>
        <w:pStyle w:val="TextBody"/>
        <w:bidi w:val="0"/>
        <w:spacing w:before="0" w:after="40"/>
        <w:ind w:left="0" w:right="0" w:firstLine="720"/>
        <w:jc w:val="both"/>
        <w:rPr>
          <w:rFonts w:ascii="Times New Roman;Times;serif" w:hAnsi="Times New Roman;Times;serif"/>
          <w:b/>
          <w:sz w:val="18"/>
        </w:rPr>
      </w:pPr>
      <w:r>
        <w:rPr>
          <w:rFonts w:ascii="Times New Roman;Times;serif" w:hAnsi="Times New Roman;Times;serif"/>
          <w:b/>
          <w:sz w:val="18"/>
        </w:rPr>
        <w:t>Number of shares of the registrant’s common stock, $.01 par value per share, outstanding on May 1, 2026:  28,302,293</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11">
                <wp:simplePos x="0" y="0"/>
                <wp:positionH relativeFrom="page">
                  <wp:posOffset>0</wp:posOffset>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center"/>
        <w:rPr>
          <w:rFonts w:ascii="Times New Roman;Times;serif" w:hAnsi="Times New Roman;Times;serif"/>
          <w:b/>
          <w:sz w:val="20"/>
        </w:rPr>
      </w:pPr>
      <w:bookmarkStart w:id="33" w:name="TOC"/>
      <w:bookmarkStart w:id="34" w:name="_64691b3f_42f8_4485_8a9d_49d11fb23b37"/>
      <w:bookmarkEnd w:id="33"/>
      <w:bookmarkEnd w:id="34"/>
      <w:r>
        <w:rPr>
          <w:rFonts w:ascii="Times New Roman;Times;serif" w:hAnsi="Times New Roman;Times;serif"/>
          <w:b/>
          <w:sz w:val="20"/>
        </w:rPr>
        <w:t>VALHI,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w:t>
      </w:r>
    </w:p>
    <w:p>
      <w:pPr>
        <w:pStyle w:val="TextBody"/>
        <w:bidi w:val="0"/>
        <w:spacing w:before="0" w:after="240"/>
        <w:ind w:left="0" w:right="0" w:hanging="0"/>
        <w:jc w:val="both"/>
        <w:rPr/>
      </w:pPr>
      <w:r>
        <w:rPr/>
        <w:t>​</w:t>
      </w:r>
    </w:p>
    <w:tbl>
      <w:tblPr>
        <w:tblW w:w="9604" w:type="dxa"/>
        <w:jc w:val="left"/>
        <w:tblInd w:w="0" w:type="dxa"/>
        <w:tblLayout w:type="fixed"/>
        <w:tblCellMar>
          <w:top w:w="0" w:type="dxa"/>
          <w:left w:w="0" w:type="dxa"/>
          <w:bottom w:w="0" w:type="dxa"/>
          <w:right w:w="0" w:type="dxa"/>
        </w:tblCellMar>
      </w:tblPr>
      <w:tblGrid>
        <w:gridCol w:w="711"/>
        <w:gridCol w:w="25"/>
        <w:gridCol w:w="796"/>
        <w:gridCol w:w="7366"/>
        <w:gridCol w:w="706"/>
      </w:tblGrid>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48310" cy="175260"/>
                      <wp:effectExtent l="0" t="0" r="0" b="0"/>
                      <wp:wrapNone/>
                      <wp:docPr id="11" name="Frame1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1" w:type="dxa"/>
            <w:tcBorders/>
            <w:vAlign w:val="center"/>
          </w:tcPr>
          <w:p>
            <w:pPr>
              <w:pStyle w:val="TableHeading"/>
              <w:bidi w:val="0"/>
              <w:spacing w:before="0" w:after="0"/>
              <w:ind w:left="0" w:right="0" w:hanging="0"/>
              <w:jc w:val="left"/>
              <w:rPr/>
            </w:pPr>
            <w:r>
              <w:rPr/>
              <w:t>​</w:t>
            </w:r>
          </w:p>
        </w:tc>
        <w:tc>
          <w:tcPr>
            <w:tcW w:w="8187" w:type="dxa"/>
            <w:gridSpan w:val="3"/>
            <w:tcBorders/>
            <w:vAlign w:val="center"/>
          </w:tcPr>
          <w:p>
            <w:pPr>
              <w:pStyle w:val="TableHeading"/>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val="false"/>
                <w:sz w:val="16"/>
              </w:rPr>
            </w:pPr>
            <w:r>
              <w:rPr>
                <w:rFonts w:ascii="Times New Roman;Times;serif" w:hAnsi="Times New Roman;Times;serif"/>
                <w:b/>
                <w:sz w:val="16"/>
              </w:rPr>
              <w:t>Page</w:t>
            </w:r>
            <w:r>
              <w:rPr>
                <w:rFonts w:ascii="Times New Roman;Times;serif" w:hAnsi="Times New Roman;Times;serif"/>
                <w:b w:val="false"/>
                <w:sz w:val="16"/>
              </w:rPr>
              <w:br/>
            </w:r>
            <w:r>
              <w:rPr>
                <w:rFonts w:ascii="Times New Roman;Times;serif" w:hAnsi="Times New Roman;Times;serif"/>
                <w:b/>
                <w:sz w:val="16"/>
              </w:rPr>
              <w:t>number</w:t>
            </w:r>
          </w:p>
        </w:tc>
      </w:tr>
      <w:tr>
        <w:trPr/>
        <w:tc>
          <w:tcPr>
            <w:tcW w:w="711" w:type="dxa"/>
            <w:tcBorders/>
            <w:vAlign w:val="center"/>
          </w:tcPr>
          <w:p>
            <w:pPr>
              <w:pStyle w:val="TableContents"/>
              <w:bidi w:val="0"/>
              <w:spacing w:before="0" w:after="0"/>
              <w:ind w:left="0" w:right="0" w:hanging="0"/>
              <w:jc w:val="left"/>
              <w:rPr/>
            </w:pPr>
            <w:r>
              <w:rPr/>
              <w:t>​</w:t>
            </w:r>
          </w:p>
        </w:tc>
        <w:tc>
          <w:tcPr>
            <w:tcW w:w="8187" w:type="dxa"/>
            <w:gridSpan w:val="3"/>
            <w:tcBorders/>
            <w:vAlign w:val="center"/>
          </w:tcPr>
          <w:p>
            <w:pPr>
              <w:pStyle w:val="TableContents"/>
              <w:pBdr/>
              <w:bidi w:val="0"/>
              <w:spacing w:before="0" w:after="0"/>
              <w:ind w:left="0" w:right="0" w:hanging="0"/>
              <w:jc w:val="left"/>
              <w:rPr/>
            </w:pPr>
            <w:r>
              <w:rPr/>
              <w:t>​</w:t>
            </w:r>
          </w:p>
        </w:tc>
        <w:tc>
          <w:tcPr>
            <w:tcW w:w="706"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8187" w:type="dxa"/>
            <w:gridSpan w:val="3"/>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3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pPr>
            <w:r>
              <w:rPr/>
              <w:t>​</w:t>
            </w:r>
          </w:p>
        </w:tc>
        <w:tc>
          <w:tcPr>
            <w:tcW w:w="821" w:type="dxa"/>
            <w:gridSpan w:val="2"/>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DENSEDCONSOLIDATEDBALANCESHEET">
              <w:r>
                <w:rPr>
                  <w:rStyle w:val="InternetLink"/>
                  <w:rFonts w:ascii="Times New Roman;Times;serif" w:hAnsi="Times New Roman;Times;serif"/>
                  <w:b w:val="false"/>
                  <w:i w:val="false"/>
                  <w:caps w:val="false"/>
                  <w:smallCaps w:val="false"/>
                  <w:sz w:val="20"/>
                </w:rPr>
                <w:t xml:space="preserve">Condensed Consolidated Balance Sheets – </w:t>
                <w:br/>
                <w:t>December 31, 2025 and March 31, 2026 (unaudited)</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pPr>
            <w:r>
              <w:rPr/>
              <w:t>​</w:t>
            </w:r>
          </w:p>
        </w:tc>
        <w:tc>
          <w:tcPr>
            <w:tcW w:w="821" w:type="dxa"/>
            <w:gridSpan w:val="2"/>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DENSEDCONSOLIDATEDSTATEMENTOPERATIONS">
              <w:r>
                <w:rPr>
                  <w:rStyle w:val="InternetLink"/>
                  <w:rFonts w:ascii="Times New Roman;Times;serif" w:hAnsi="Times New Roman;Times;serif"/>
                  <w:b w:val="false"/>
                  <w:i w:val="false"/>
                  <w:caps w:val="false"/>
                  <w:smallCaps w:val="false"/>
                  <w:sz w:val="20"/>
                </w:rPr>
                <w:t xml:space="preserve">Condensed Consolidated Statements of Income (unaudited) – </w:t>
                <w:br/>
                <w:t>Three months ended March 31, 2025 and 2026</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pPr>
            <w:r>
              <w:rPr/>
              <w:t>​</w:t>
            </w:r>
          </w:p>
        </w:tc>
        <w:tc>
          <w:tcPr>
            <w:tcW w:w="821" w:type="dxa"/>
            <w:gridSpan w:val="2"/>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DENSEDCONSOLIDATEDSTATEMENTSOFCOMPREH">
              <w:r>
                <w:rPr>
                  <w:rStyle w:val="InternetLink"/>
                  <w:rFonts w:ascii="Times New Roman;Times;serif" w:hAnsi="Times New Roman;Times;serif"/>
                  <w:b w:val="false"/>
                  <w:i w:val="false"/>
                  <w:caps w:val="false"/>
                  <w:smallCaps w:val="false"/>
                  <w:sz w:val="20"/>
                </w:rPr>
                <w:t xml:space="preserve">Condensed Consolidated Statements of Comprehensive Income (unaudited) – </w:t>
                <w:br/>
                <w:t>Three months ended March 31, 2025 and 2026</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pPr>
            <w:r>
              <w:rPr/>
              <w:t>​</w:t>
            </w:r>
          </w:p>
        </w:tc>
        <w:tc>
          <w:tcPr>
            <w:tcW w:w="821" w:type="dxa"/>
            <w:gridSpan w:val="2"/>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DENSEDCONSOLIDATEDSTATEMENTOFEQUITY">
              <w:r>
                <w:rPr>
                  <w:rStyle w:val="InternetLink"/>
                  <w:rFonts w:ascii="Times New Roman;Times;serif" w:hAnsi="Times New Roman;Times;serif"/>
                  <w:b w:val="false"/>
                  <w:i w:val="false"/>
                  <w:caps w:val="false"/>
                  <w:smallCaps w:val="false"/>
                  <w:sz w:val="20"/>
                </w:rPr>
                <w:t xml:space="preserve">Condensed Consolidated Statements of Stockholders’ Equity (unaudited) – </w:t>
                <w:br/>
                <w:t>Three months ended March 31, 2025 and 2026</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pPr>
            <w:r>
              <w:rPr/>
              <w:t>​</w:t>
            </w:r>
          </w:p>
        </w:tc>
        <w:tc>
          <w:tcPr>
            <w:tcW w:w="821" w:type="dxa"/>
            <w:gridSpan w:val="2"/>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DENSEDCONSOLIDATEDCASHFLOWS">
              <w:r>
                <w:rPr>
                  <w:rStyle w:val="InternetLink"/>
                  <w:rFonts w:ascii="Times New Roman;Times;serif" w:hAnsi="Times New Roman;Times;serif"/>
                  <w:b w:val="false"/>
                  <w:i w:val="false"/>
                  <w:caps w:val="false"/>
                  <w:smallCaps w:val="false"/>
                  <w:sz w:val="20"/>
                </w:rPr>
                <w:t>Condensed Consolidated Statements of Cash Flows (unaudited) –</w:t>
                <w:br/>
                <w:t>Three months ended March 31, 2025 and 2026</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pPr>
            <w:r>
              <w:rPr/>
              <w:t>​</w:t>
            </w:r>
          </w:p>
        </w:tc>
        <w:tc>
          <w:tcPr>
            <w:tcW w:w="821" w:type="dxa"/>
            <w:gridSpan w:val="2"/>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NOTESTOCONDENSEDCONSOLIDATEDFINSTMTS">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hyperlink w:anchor="ITEM2MGMTDISCUSSION">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pBdr/>
              <w:bidi w:val="0"/>
              <w:spacing w:before="0" w:after="0"/>
              <w:ind w:left="0" w:right="0" w:hanging="0"/>
              <w:jc w:val="left"/>
              <w:rPr/>
            </w:pPr>
            <w:hyperlink w:anchor="MANAGEMENTSDISCUSSIONANDANALYSIS">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11" w:type="dxa"/>
            <w:tcBorders/>
            <w:vAlign w:val="center"/>
          </w:tcPr>
          <w:p>
            <w:pPr>
              <w:pStyle w:val="TableContents"/>
              <w:pBdr/>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pBdr/>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Controls and Procedures</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11"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36" w:type="dxa"/>
            <w:gridSpan w:val="2"/>
            <w:tcBorders/>
            <w:vAlign w:val="center"/>
          </w:tcPr>
          <w:p>
            <w:pPr>
              <w:pStyle w:val="TableContents"/>
              <w:pBdr/>
              <w:bidi w:val="0"/>
              <w:spacing w:before="0" w:after="0"/>
              <w:ind w:left="0" w:right="0" w:hanging="0"/>
              <w:jc w:val="left"/>
              <w:rPr/>
            </w:pPr>
            <w:hyperlink w:anchor="PARTIIOTHERINFORMATION">
              <w:r>
                <w:rPr>
                  <w:rStyle w:val="InternetLink"/>
                  <w:rFonts w:ascii="Times New Roman;Times;serif" w:hAnsi="Times New Roman;Times;serif"/>
                  <w:b/>
                  <w:i w:val="false"/>
                  <w:caps w:val="false"/>
                  <w:smallCaps w:val="false"/>
                  <w:sz w:val="20"/>
                </w:rPr>
                <w:t>Part II.</w:t>
              </w:r>
            </w:hyperlink>
          </w:p>
        </w:tc>
        <w:tc>
          <w:tcPr>
            <w:tcW w:w="8162" w:type="dxa"/>
            <w:gridSpan w:val="2"/>
            <w:tcBorders/>
            <w:vAlign w:val="center"/>
          </w:tcPr>
          <w:p>
            <w:pPr>
              <w:pStyle w:val="TableContents"/>
              <w:pBdr/>
              <w:bidi w:val="0"/>
              <w:spacing w:before="0" w:after="0"/>
              <w:ind w:left="0" w:right="0" w:hanging="0"/>
              <w:jc w:val="left"/>
              <w:rPr/>
            </w:pPr>
            <w:hyperlink w:anchor="PARTIIOTHERINFORMATION">
              <w:r>
                <w:rPr>
                  <w:rStyle w:val="InternetLink"/>
                  <w:rFonts w:ascii="Times New Roman;Times;serif" w:hAnsi="Times New Roman;Times;serif"/>
                  <w:b/>
                  <w:i w:val="false"/>
                  <w:caps w:val="false"/>
                  <w:smallCaps w:val="false"/>
                  <w:sz w:val="20"/>
                </w:rPr>
                <w:t>OTHER INFORMATION</w:t>
              </w:r>
            </w:hyperlink>
          </w:p>
        </w:tc>
        <w:tc>
          <w:tcPr>
            <w:tcW w:w="706" w:type="dxa"/>
            <w:tcBorders/>
            <w:vAlign w:val="center"/>
          </w:tcPr>
          <w:p>
            <w:pPr>
              <w:pStyle w:val="TableContents"/>
              <w:bidi w:val="0"/>
              <w:spacing w:before="0" w:after="0"/>
              <w:ind w:left="0" w:right="0" w:hanging="0"/>
              <w:jc w:val="right"/>
              <w:rPr/>
            </w:pPr>
            <w:r>
              <w:rPr/>
              <w:t>​</w:t>
            </w:r>
          </w:p>
        </w:tc>
      </w:tr>
      <w:tr>
        <w:trPr/>
        <w:tc>
          <w:tcPr>
            <w:tcW w:w="736" w:type="dxa"/>
            <w:gridSpan w:val="2"/>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36" w:type="dxa"/>
            <w:gridSpan w:val="2"/>
            <w:tcBorders/>
            <w:vAlign w:val="center"/>
          </w:tcPr>
          <w:p>
            <w:pPr>
              <w:pStyle w:val="TableContents"/>
              <w:pBdr/>
              <w:bidi w:val="0"/>
              <w:spacing w:before="0" w:after="0"/>
              <w:ind w:left="0" w:right="0" w:hanging="0"/>
              <w:jc w:val="left"/>
              <w:rPr/>
            </w:pPr>
            <w:r>
              <w:rPr/>
              <w:t>​</w:t>
            </w:r>
          </w:p>
        </w:tc>
        <w:tc>
          <w:tcPr>
            <w:tcW w:w="796" w:type="dxa"/>
            <w:tcBorders/>
            <w:vAlign w:val="center"/>
          </w:tcPr>
          <w:p>
            <w:pPr>
              <w:pStyle w:val="TableContents"/>
              <w:pBdr/>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pBdr/>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Legal Proceedings</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36" w:type="dxa"/>
            <w:gridSpan w:val="2"/>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36" w:type="dxa"/>
            <w:gridSpan w:val="2"/>
            <w:tcBorders/>
            <w:vAlign w:val="center"/>
          </w:tcPr>
          <w:p>
            <w:pPr>
              <w:pStyle w:val="TableContents"/>
              <w:pBdr/>
              <w:bidi w:val="0"/>
              <w:spacing w:before="0" w:after="0"/>
              <w:ind w:left="0" w:right="0" w:hanging="0"/>
              <w:jc w:val="left"/>
              <w:rPr/>
            </w:pPr>
            <w:r>
              <w:rPr/>
              <w:t>​</w:t>
            </w:r>
          </w:p>
        </w:tc>
        <w:tc>
          <w:tcPr>
            <w:tcW w:w="796" w:type="dxa"/>
            <w:tcBorders/>
            <w:vAlign w:val="center"/>
          </w:tcPr>
          <w:p>
            <w:pPr>
              <w:pStyle w:val="TableContents"/>
              <w:pBdr/>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pBdr/>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Risk Factors</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36" w:type="dxa"/>
            <w:gridSpan w:val="2"/>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736" w:type="dxa"/>
            <w:gridSpan w:val="2"/>
            <w:tcBorders/>
            <w:vAlign w:val="center"/>
          </w:tcPr>
          <w:p>
            <w:pPr>
              <w:pStyle w:val="TableContents"/>
              <w:pBdr/>
              <w:bidi w:val="0"/>
              <w:spacing w:before="0" w:after="0"/>
              <w:ind w:left="0" w:right="0" w:hanging="0"/>
              <w:jc w:val="left"/>
              <w:rPr/>
            </w:pPr>
            <w:r>
              <w:rPr/>
              <w:t>​</w:t>
            </w:r>
          </w:p>
        </w:tc>
        <w:tc>
          <w:tcPr>
            <w:tcW w:w="796" w:type="dxa"/>
            <w:tcBorders/>
            <w:vAlign w:val="center"/>
          </w:tcPr>
          <w:p>
            <w:pPr>
              <w:pStyle w:val="TableContents"/>
              <w:pBdr/>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pBdr/>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Exhibits</w:t>
              </w:r>
            </w:hyperlink>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Items 2, 3, 4 and 5 of Part II are omitted because there is no information to report.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13">
                <wp:simplePos x="0" y="0"/>
                <wp:positionH relativeFrom="page">
                  <wp:posOffset>0</wp:posOffset>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120"/>
        <w:ind w:left="0" w:right="0" w:hanging="0"/>
        <w:jc w:val="center"/>
        <w:rPr>
          <w:rFonts w:ascii="Times New Roman;Times;serif" w:hAnsi="Times New Roman;Times;serif"/>
          <w:b/>
          <w:sz w:val="20"/>
        </w:rPr>
      </w:pPr>
      <w:bookmarkStart w:id="35" w:name="_bacf9fb0_493b_4af8_b670_be157267e5f0"/>
      <w:bookmarkEnd w:id="35"/>
      <w:r>
        <w:rPr>
          <w:rFonts w:ascii="Times New Roman;Times;serif" w:hAnsi="Times New Roman;Times;serif"/>
          <w:b/>
          <w:sz w:val="20"/>
        </w:rPr>
        <w:t>VALHI, INC. AND SUBSIDIARIES</w:t>
      </w:r>
    </w:p>
    <w:p>
      <w:pPr>
        <w:pStyle w:val="TextBody"/>
        <w:bidi w:val="0"/>
        <w:spacing w:before="0" w:after="120"/>
        <w:ind w:left="0" w:right="0" w:hanging="0"/>
        <w:jc w:val="center"/>
        <w:rPr>
          <w:rFonts w:ascii="Times New Roman;Times;serif" w:hAnsi="Times New Roman;Times;serif"/>
          <w:b/>
          <w:sz w:val="20"/>
        </w:rPr>
      </w:pPr>
      <w:bookmarkStart w:id="36" w:name="CONDENSEDCONSOLIDATEDBALANCESHEET"/>
      <w:bookmarkEnd w:id="36"/>
      <w:r>
        <w:rPr>
          <w:rFonts w:ascii="Times New Roman;Times;serif" w:hAnsi="Times New Roman;Times;serif"/>
          <w:b/>
          <w:sz w:val="20"/>
        </w:rPr>
        <w:t>CONDENSED 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millions)</w:t>
      </w:r>
    </w:p>
    <w:p>
      <w:pPr>
        <w:pStyle w:val="Normal"/>
        <w:bidi w:val="0"/>
        <w:spacing w:before="0" w:after="0"/>
        <w:jc w:val="left"/>
        <w:rPr>
          <w:sz w:val="4"/>
          <w:szCs w:val="4"/>
        </w:rPr>
      </w:pPr>
      <w:r>
        <w:rPr>
          <w:sz w:val="4"/>
          <w:szCs w:val="4"/>
        </w:rPr>
      </w:r>
      <w:bookmarkStart w:id="37" w:name="Tc_Cclss1QnwEiuG7PzsVBhbw_30_5"/>
      <w:bookmarkStart w:id="38" w:name="Tc_bQPnHr-_DE23_JVIIkYiVQ_30_2"/>
      <w:bookmarkStart w:id="39" w:name="Tc_MrtF_igH-kad1zTrHVwvGg_30_0"/>
      <w:bookmarkStart w:id="40" w:name="Tc_R-rI2_AVKEanSWu6bBk8Sg_29_0"/>
      <w:bookmarkStart w:id="41" w:name="Tc_nxbatTtlzUa--tonDoSk2A_28_0"/>
      <w:bookmarkStart w:id="42" w:name="Tc_lpF1FnLhXEm0j548qm6sGg_26_0"/>
      <w:bookmarkStart w:id="43" w:name="Tc_W6mDOxyW4Uq6L5mhVLLFtg_25_0"/>
      <w:bookmarkStart w:id="44" w:name="Tc_FGnBQW3V40-nBD3wh4Rv3w_24_0"/>
      <w:bookmarkStart w:id="45" w:name="Tc_sd-5o4PN_Uum0K3leVl14w_23_0"/>
      <w:bookmarkStart w:id="46" w:name="Tc_RoOr8KSGDEGa_ck3zabjaw_22_0"/>
      <w:bookmarkStart w:id="47" w:name="Tc_QkNrPNuYOE-XRK-5t5WjJg_21_0"/>
      <w:bookmarkStart w:id="48" w:name="Tc_Y9_zzZ_auE-DXKXYj-AgSg_19_0"/>
      <w:bookmarkStart w:id="49" w:name="Tc_gEmkRcxrmE2VdXxS9qJEdA_18_0"/>
      <w:bookmarkStart w:id="50" w:name="Tc_gpsWmZxWiE2L6cpWB66_Lw_17_0"/>
      <w:bookmarkStart w:id="51" w:name="Tc_TKIGW64FbUqKc1JbsYF3vg_16_0"/>
      <w:bookmarkStart w:id="52" w:name="Tc_aqiYwskvt0CMBumCsvxzuQ_15_0"/>
      <w:bookmarkStart w:id="53" w:name="Tc_HkWUAqH_0UezI1-zEaAugg_14_0"/>
      <w:bookmarkStart w:id="54" w:name="Tc_ZK8eSoWyQ0CGYABXU78iLw_13_0"/>
      <w:bookmarkStart w:id="55" w:name="Tc_ioE4TnEdpUivw7puTyWGyw_11_0"/>
      <w:bookmarkStart w:id="56" w:name="Tc_xkM8temn4EOA-8PlGY-YIQ_10_0"/>
      <w:bookmarkStart w:id="57" w:name="Tc_iVxOodHdxEem4LlCmpLaVw_9_0"/>
      <w:bookmarkStart w:id="58" w:name="Tc_cPgWtJOY2kWHUQk7MfFlPQ_8_0"/>
      <w:bookmarkStart w:id="59" w:name="Tc_g7BmIyTjrkeFO-ZjRT8zSQ_7_0"/>
      <w:bookmarkStart w:id="60" w:name="Tc_22lwOg5Hl0yiPm6LSrTS4A_6_0"/>
      <w:bookmarkStart w:id="61" w:name="Tc_2DebLdtRkUybjMD-3MnYTQ_5_5"/>
      <w:bookmarkStart w:id="62" w:name="Tc_7g4D5ABKD0SE_8UM2T3tJQ_5_2"/>
      <w:bookmarkStart w:id="63" w:name="Tc_cs2ukafcl0i_0b8I6Ai8Yg_5_0"/>
      <w:bookmarkStart w:id="64" w:name="Tc_XsHp_Zw7Ok6OYo0MnvO4LQ_4_0"/>
      <w:bookmarkStart w:id="65" w:name="Tc_KJTVtDLOt0WhF6Q-aE13pw_3_5"/>
      <w:bookmarkStart w:id="66" w:name="Tc_ugeYFe2EMkKsPOrpKD0p5A_2_5"/>
      <w:bookmarkStart w:id="67" w:name="Tc_JroYGUtqHkaRq77jNfmRtA_2_2"/>
      <w:bookmarkStart w:id="68" w:name="Tc__C8TaQKQokS-3IzYEGfUHA_1_5"/>
      <w:bookmarkStart w:id="69" w:name="Tc_SSNeeRYVbEGnA4I8TIkR-A_1_2"/>
      <w:bookmarkStart w:id="70" w:name="Tc_WOtuZfwYwUWxu2iaHs0w8A_1_0"/>
      <w:bookmarkStart w:id="71" w:name="_f5107d1b_6ab3_46db_a976_cce8c2e1fbb9"/>
      <w:bookmarkStart w:id="72" w:name="Tc_Cclss1QnwEiuG7PzsVBhbw_30_5"/>
      <w:bookmarkStart w:id="73" w:name="Tc_bQPnHr-_DE23_JVIIkYiVQ_30_2"/>
      <w:bookmarkStart w:id="74" w:name="Tc_MrtF_igH-kad1zTrHVwvGg_30_0"/>
      <w:bookmarkStart w:id="75" w:name="Tc_R-rI2_AVKEanSWu6bBk8Sg_29_0"/>
      <w:bookmarkStart w:id="76" w:name="Tc_nxbatTtlzUa--tonDoSk2A_28_0"/>
      <w:bookmarkStart w:id="77" w:name="Tc_lpF1FnLhXEm0j548qm6sGg_26_0"/>
      <w:bookmarkStart w:id="78" w:name="Tc_W6mDOxyW4Uq6L5mhVLLFtg_25_0"/>
      <w:bookmarkStart w:id="79" w:name="Tc_FGnBQW3V40-nBD3wh4Rv3w_24_0"/>
      <w:bookmarkStart w:id="80" w:name="Tc_sd-5o4PN_Uum0K3leVl14w_23_0"/>
      <w:bookmarkStart w:id="81" w:name="Tc_RoOr8KSGDEGa_ck3zabjaw_22_0"/>
      <w:bookmarkStart w:id="82" w:name="Tc_QkNrPNuYOE-XRK-5t5WjJg_21_0"/>
      <w:bookmarkStart w:id="83" w:name="Tc_Y9_zzZ_auE-DXKXYj-AgSg_19_0"/>
      <w:bookmarkStart w:id="84" w:name="Tc_gEmkRcxrmE2VdXxS9qJEdA_18_0"/>
      <w:bookmarkStart w:id="85" w:name="Tc_gpsWmZxWiE2L6cpWB66_Lw_17_0"/>
      <w:bookmarkStart w:id="86" w:name="Tc_TKIGW64FbUqKc1JbsYF3vg_16_0"/>
      <w:bookmarkStart w:id="87" w:name="Tc_aqiYwskvt0CMBumCsvxzuQ_15_0"/>
      <w:bookmarkStart w:id="88" w:name="Tc_HkWUAqH_0UezI1-zEaAugg_14_0"/>
      <w:bookmarkStart w:id="89" w:name="Tc_ZK8eSoWyQ0CGYABXU78iLw_13_0"/>
      <w:bookmarkStart w:id="90" w:name="Tc_ioE4TnEdpUivw7puTyWGyw_11_0"/>
      <w:bookmarkStart w:id="91" w:name="Tc_xkM8temn4EOA-8PlGY-YIQ_10_0"/>
      <w:bookmarkStart w:id="92" w:name="Tc_iVxOodHdxEem4LlCmpLaVw_9_0"/>
      <w:bookmarkStart w:id="93" w:name="Tc_cPgWtJOY2kWHUQk7MfFlPQ_8_0"/>
      <w:bookmarkStart w:id="94" w:name="Tc_g7BmIyTjrkeFO-ZjRT8zSQ_7_0"/>
      <w:bookmarkStart w:id="95" w:name="Tc_22lwOg5Hl0yiPm6LSrTS4A_6_0"/>
      <w:bookmarkStart w:id="96" w:name="Tc_2DebLdtRkUybjMD-3MnYTQ_5_5"/>
      <w:bookmarkStart w:id="97" w:name="Tc_7g4D5ABKD0SE_8UM2T3tJQ_5_2"/>
      <w:bookmarkStart w:id="98" w:name="Tc_cs2ukafcl0i_0b8I6Ai8Yg_5_0"/>
      <w:bookmarkStart w:id="99" w:name="Tc_XsHp_Zw7Ok6OYo0MnvO4LQ_4_0"/>
      <w:bookmarkStart w:id="100" w:name="Tc_KJTVtDLOt0WhF6Q-aE13pw_3_5"/>
      <w:bookmarkStart w:id="101" w:name="Tc_ugeYFe2EMkKsPOrpKD0p5A_2_5"/>
      <w:bookmarkStart w:id="102" w:name="Tc_JroYGUtqHkaRq77jNfmRtA_2_2"/>
      <w:bookmarkStart w:id="103" w:name="Tc__C8TaQKQokS-3IzYEGfUHA_1_5"/>
      <w:bookmarkStart w:id="104" w:name="Tc_SSNeeRYVbEGnA4I8TIkR-A_1_2"/>
      <w:bookmarkStart w:id="105" w:name="Tc_WOtuZfwYwUWxu2iaHs0w8A_1_0"/>
      <w:bookmarkStart w:id="106" w:name="_f5107d1b_6ab3_46db_a976_cce8c2e1fbb9"/>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tbl>
      <w:tblPr>
        <w:tblW w:w="7158" w:type="dxa"/>
        <w:jc w:val="left"/>
        <w:tblInd w:w="0" w:type="dxa"/>
        <w:tblLayout w:type="fixed"/>
        <w:tblCellMar>
          <w:top w:w="0" w:type="dxa"/>
          <w:left w:w="0" w:type="dxa"/>
          <w:bottom w:w="0" w:type="dxa"/>
          <w:right w:w="0" w:type="dxa"/>
        </w:tblCellMar>
      </w:tblPr>
      <w:tblGrid>
        <w:gridCol w:w="4051"/>
        <w:gridCol w:w="346"/>
        <w:gridCol w:w="295"/>
        <w:gridCol w:w="1010"/>
        <w:gridCol w:w="346"/>
        <w:gridCol w:w="225"/>
        <w:gridCol w:w="885"/>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572385" cy="175260"/>
                      <wp:effectExtent l="0" t="0" r="0" b="0"/>
                      <wp:wrapNone/>
                      <wp:docPr id="13" name="Frame13"/>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87325" cy="175260"/>
                      <wp:effectExtent l="0" t="0" r="0" b="0"/>
                      <wp:wrapNone/>
                      <wp:docPr id="15" name="Frame15"/>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1350" cy="175260"/>
                      <wp:effectExtent l="0" t="0" r="0" b="0"/>
                      <wp:wrapNone/>
                      <wp:docPr id="16" name="Frame16"/>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2875" cy="175260"/>
                      <wp:effectExtent l="0" t="0" r="0" b="0"/>
                      <wp:wrapNone/>
                      <wp:docPr id="18" name="Frame18"/>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61975" cy="175260"/>
                      <wp:effectExtent l="0" t="0" r="0" b="0"/>
                      <wp:wrapNone/>
                      <wp:docPr id="19" name="Frame19"/>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11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4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center"/>
              <w:rPr/>
            </w:pPr>
            <w:r>
              <w:rPr/>
              <w:t>​</w:t>
            </w:r>
          </w:p>
        </w:tc>
        <w:tc>
          <w:tcPr>
            <w:tcW w:w="101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1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pPr>
            <w:r>
              <w:rPr/>
              <w:t>  ​</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193.7</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other receivables, net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414.8</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659.8</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580.1</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47.4</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1,259.1</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1,253.6</w:t>
            </w:r>
          </w:p>
        </w:tc>
      </w:tr>
      <w:tr>
        <w:trPr/>
        <w:tc>
          <w:tcPr>
            <w:tcW w:w="40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pPr>
            <w:r>
              <w:rPr/>
              <w:t>  ​</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382.3</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382.3</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29.0</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receivables - OPA</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111.9</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88.6</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621.6</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617.4</w:t>
            </w:r>
          </w:p>
        </w:tc>
      </w:tr>
      <w:tr>
        <w:trPr/>
        <w:tc>
          <w:tcPr>
            <w:tcW w:w="40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pPr>
            <w:r>
              <w:rPr/>
              <w:t>  ​</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79.1</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311.7</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308.2</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1,464.2</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1,450.9</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Mining properties</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95.7</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49.5</w: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1,992.1</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1,983.4</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1,240.5</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1,244.4</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751.6</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739.0</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2,632.3</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2,610.0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1">
                <wp:simplePos x="0" y="0"/>
                <wp:positionH relativeFrom="page">
                  <wp:posOffset>0</wp:posOffset>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VALHI, INC. AND SUBSIDIARIES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 (CONTINUED)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millions)</w:t>
      </w:r>
    </w:p>
    <w:p>
      <w:pPr>
        <w:pStyle w:val="Normal"/>
        <w:bidi w:val="0"/>
        <w:spacing w:before="0" w:after="0"/>
        <w:jc w:val="left"/>
        <w:rPr>
          <w:sz w:val="4"/>
          <w:szCs w:val="4"/>
        </w:rPr>
      </w:pPr>
      <w:r>
        <w:rPr>
          <w:sz w:val="4"/>
          <w:szCs w:val="4"/>
        </w:rPr>
      </w:r>
      <w:bookmarkStart w:id="107" w:name="Tc_q4fmmUmj4U2uR0Eddck5kQ_28_5"/>
      <w:bookmarkStart w:id="108" w:name="Tc_9IMQ6dCpqEeeh3d4nWGFaQ_28_2"/>
      <w:bookmarkStart w:id="109" w:name="Tc__VelNOTYlkSvFj1iz7OzFA_28_0"/>
      <w:bookmarkStart w:id="110" w:name="Tc_FgQ0upPUykGp2JRrmUtxrA_27_0"/>
      <w:bookmarkStart w:id="111" w:name="Tc_YKpomSdHjUOAOyGdHbjJ5Q_26_0"/>
      <w:bookmarkStart w:id="112" w:name="Tc_zs0Mpz-vF0yyK9M4zD7ZMQ_25_0"/>
      <w:bookmarkStart w:id="113" w:name="Tc_23oz9Db0aUamB6f_E-giAA_24_0"/>
      <w:bookmarkStart w:id="114" w:name="Tc_wkIEe3ueKECtMOSgqOl2zA_23_0"/>
      <w:bookmarkStart w:id="115" w:name="Tc_ciPJnAVXVUGWu1PJtL60aw_22_0"/>
      <w:bookmarkStart w:id="116" w:name="Tc_-03Up6wxHECDetz-K-XuzA_21_0"/>
      <w:bookmarkStart w:id="117" w:name="Tc_iT9aRlWtRUmGxZ0ys8uTtw_20_0"/>
      <w:bookmarkStart w:id="118" w:name="Tc_7btyqpFuTUy2Qk9-AItfBQ_19_0"/>
      <w:bookmarkStart w:id="119" w:name="Tc_z4bEKbF3NEaAENwkPzGrCQ_18_0"/>
      <w:bookmarkStart w:id="120" w:name="Tc_ZfCQbQ9j0UKqfKWibRirUQ_16_0"/>
      <w:bookmarkStart w:id="121" w:name="Tc_ZKLKlLl9RES5U-yLREVIDg_15_0"/>
      <w:bookmarkStart w:id="122" w:name="Tc_bvLlvyFb3UKbmE6rQVx60g_14_0"/>
      <w:bookmarkStart w:id="123" w:name="Tc_1lgTq5PSBkaEBIDRz_mjGQ_13_0"/>
      <w:bookmarkStart w:id="124" w:name="Tc_oToygUZXJ023eTU12ISwXA_12_0"/>
      <w:bookmarkStart w:id="125" w:name="Tc_JNIe_Zlxy0OHR_VyLR_59Q_11_0"/>
      <w:bookmarkStart w:id="126" w:name="Tc_lrxCUSy4EEyjO_N9ASoe-g_10_0"/>
      <w:bookmarkStart w:id="127" w:name="Tc_L9GoGDZ1x0CIdFYJsbOzrQ_8_0"/>
      <w:bookmarkStart w:id="128" w:name="Tc_JTQQDzeqQk6URczmNUELSw_7_0"/>
      <w:bookmarkStart w:id="129" w:name="Tc_SLinfIcdGUiMoURbknXGKg_6_0"/>
      <w:bookmarkStart w:id="130" w:name="Tc_qva4_KN5pESWHMa85IY6FA_5_5"/>
      <w:bookmarkStart w:id="131" w:name="Tc_sZOJodjuckO6v85AattCKw_5_2"/>
      <w:bookmarkStart w:id="132" w:name="Tc_Mp8-DjogpUOejYPYiejCxQ_5_0"/>
      <w:bookmarkStart w:id="133" w:name="Tc_NgNUWylu2UuadfufPkUYiw_4_0"/>
      <w:bookmarkStart w:id="134" w:name="Tc_r17DpJqSOUqi3RMXP2XyGg_3_5"/>
      <w:bookmarkStart w:id="135" w:name="Tc_Qq75_NukqUykEHnt_5EhEA_2_5"/>
      <w:bookmarkStart w:id="136" w:name="Tc_IW0N29_pQkCgmRnWld97OA_2_2"/>
      <w:bookmarkStart w:id="137" w:name="Tc_PDRyDCY_UU2RceI-zOpZLQ_1_5"/>
      <w:bookmarkStart w:id="138" w:name="Tc_5XP_hDWc-UyBsMXCR8QWLw_1_2"/>
      <w:bookmarkStart w:id="139" w:name="Tc_f07d2TFhWEu9ZeoTDml_Uw_1_0"/>
      <w:bookmarkStart w:id="140" w:name="_22eadc1a_3505_4cf8_b7eb_cd5985cfbeb2"/>
      <w:bookmarkStart w:id="141" w:name="Tc_q4fmmUmj4U2uR0Eddck5kQ_28_5"/>
      <w:bookmarkStart w:id="142" w:name="Tc_9IMQ6dCpqEeeh3d4nWGFaQ_28_2"/>
      <w:bookmarkStart w:id="143" w:name="Tc__VelNOTYlkSvFj1iz7OzFA_28_0"/>
      <w:bookmarkStart w:id="144" w:name="Tc_FgQ0upPUykGp2JRrmUtxrA_27_0"/>
      <w:bookmarkStart w:id="145" w:name="Tc_YKpomSdHjUOAOyGdHbjJ5Q_26_0"/>
      <w:bookmarkStart w:id="146" w:name="Tc_zs0Mpz-vF0yyK9M4zD7ZMQ_25_0"/>
      <w:bookmarkStart w:id="147" w:name="Tc_23oz9Db0aUamB6f_E-giAA_24_0"/>
      <w:bookmarkStart w:id="148" w:name="Tc_wkIEe3ueKECtMOSgqOl2zA_23_0"/>
      <w:bookmarkStart w:id="149" w:name="Tc_ciPJnAVXVUGWu1PJtL60aw_22_0"/>
      <w:bookmarkStart w:id="150" w:name="Tc_-03Up6wxHECDetz-K-XuzA_21_0"/>
      <w:bookmarkStart w:id="151" w:name="Tc_iT9aRlWtRUmGxZ0ys8uTtw_20_0"/>
      <w:bookmarkStart w:id="152" w:name="Tc_7btyqpFuTUy2Qk9-AItfBQ_19_0"/>
      <w:bookmarkStart w:id="153" w:name="Tc_z4bEKbF3NEaAENwkPzGrCQ_18_0"/>
      <w:bookmarkStart w:id="154" w:name="Tc_ZfCQbQ9j0UKqfKWibRirUQ_16_0"/>
      <w:bookmarkStart w:id="155" w:name="Tc_ZKLKlLl9RES5U-yLREVIDg_15_0"/>
      <w:bookmarkStart w:id="156" w:name="Tc_bvLlvyFb3UKbmE6rQVx60g_14_0"/>
      <w:bookmarkStart w:id="157" w:name="Tc_1lgTq5PSBkaEBIDRz_mjGQ_13_0"/>
      <w:bookmarkStart w:id="158" w:name="Tc_oToygUZXJ023eTU12ISwXA_12_0"/>
      <w:bookmarkStart w:id="159" w:name="Tc_JNIe_Zlxy0OHR_VyLR_59Q_11_0"/>
      <w:bookmarkStart w:id="160" w:name="Tc_lrxCUSy4EEyjO_N9ASoe-g_10_0"/>
      <w:bookmarkStart w:id="161" w:name="Tc_L9GoGDZ1x0CIdFYJsbOzrQ_8_0"/>
      <w:bookmarkStart w:id="162" w:name="Tc_JTQQDzeqQk6URczmNUELSw_7_0"/>
      <w:bookmarkStart w:id="163" w:name="Tc_SLinfIcdGUiMoURbknXGKg_6_0"/>
      <w:bookmarkStart w:id="164" w:name="Tc_qva4_KN5pESWHMa85IY6FA_5_5"/>
      <w:bookmarkStart w:id="165" w:name="Tc_sZOJodjuckO6v85AattCKw_5_2"/>
      <w:bookmarkStart w:id="166" w:name="Tc_Mp8-DjogpUOejYPYiejCxQ_5_0"/>
      <w:bookmarkStart w:id="167" w:name="Tc_NgNUWylu2UuadfufPkUYiw_4_0"/>
      <w:bookmarkStart w:id="168" w:name="Tc_r17DpJqSOUqi3RMXP2XyGg_3_5"/>
      <w:bookmarkStart w:id="169" w:name="Tc_Qq75_NukqUykEHnt_5EhEA_2_5"/>
      <w:bookmarkStart w:id="170" w:name="Tc_IW0N29_pQkCgmRnWld97OA_2_2"/>
      <w:bookmarkStart w:id="171" w:name="Tc_PDRyDCY_UU2RceI-zOpZLQ_1_5"/>
      <w:bookmarkStart w:id="172" w:name="Tc_5XP_hDWc-UyBsMXCR8QWLw_1_2"/>
      <w:bookmarkStart w:id="173" w:name="Tc_f07d2TFhWEu9ZeoTDml_Uw_1_0"/>
      <w:bookmarkStart w:id="174" w:name="_22eadc1a_3505_4cf8_b7eb_cd5985cfbeb2"/>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tbl>
      <w:tblPr>
        <w:tblW w:w="7548" w:type="dxa"/>
        <w:jc w:val="left"/>
        <w:tblInd w:w="0" w:type="dxa"/>
        <w:tblLayout w:type="fixed"/>
        <w:tblCellMar>
          <w:top w:w="0" w:type="dxa"/>
          <w:left w:w="0" w:type="dxa"/>
          <w:bottom w:w="0" w:type="dxa"/>
          <w:right w:w="0" w:type="dxa"/>
        </w:tblCellMar>
      </w:tblPr>
      <w:tblGrid>
        <w:gridCol w:w="4441"/>
        <w:gridCol w:w="346"/>
        <w:gridCol w:w="295"/>
        <w:gridCol w:w="1010"/>
        <w:gridCol w:w="346"/>
        <w:gridCol w:w="225"/>
        <w:gridCol w:w="885"/>
      </w:tblGrid>
      <w:tr>
        <w:trPr/>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820035" cy="175260"/>
                      <wp:effectExtent l="0" t="0" r="0" b="0"/>
                      <wp:wrapNone/>
                      <wp:docPr id="21" name="Frame21"/>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87325" cy="175260"/>
                      <wp:effectExtent l="0" t="0" r="0" b="0"/>
                      <wp:wrapNone/>
                      <wp:docPr id="23" name="Frame23"/>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1350" cy="175260"/>
                      <wp:effectExtent l="0" t="0" r="0" b="0"/>
                      <wp:wrapNone/>
                      <wp:docPr id="24" name="Frame24"/>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2875" cy="175260"/>
                      <wp:effectExtent l="0" t="0" r="0" b="0"/>
                      <wp:wrapNone/>
                      <wp:docPr id="26" name="Frame2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61975" cy="175260"/>
                      <wp:effectExtent l="0" t="0" r="0" b="0"/>
                      <wp:wrapNone/>
                      <wp:docPr id="27" name="Frame27"/>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4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11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44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4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center"/>
              <w:rPr/>
            </w:pPr>
            <w:r>
              <w:rPr/>
              <w:t>​</w:t>
            </w:r>
          </w:p>
        </w:tc>
        <w:tc>
          <w:tcPr>
            <w:tcW w:w="101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1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pPr>
            <w:r>
              <w:rPr/>
              <w:t>  ​</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maturities of long-term debt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434.1</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370.1</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449.3</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386.0</w:t>
            </w:r>
          </w:p>
        </w:tc>
      </w:tr>
      <w:tr>
        <w:trPr/>
        <w:tc>
          <w:tcPr>
            <w:tcW w:w="4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left"/>
              <w:rPr/>
            </w:pPr>
            <w:r>
              <w:rPr/>
              <w:t>​</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pPr>
            <w:r>
              <w:rPr/>
              <w:t>  ​</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590.9</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624.5</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pension costs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76.4</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environmental remediation and related costs</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14.6</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56.2</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81.6</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819.3</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853.3</w:t>
            </w:r>
          </w:p>
        </w:tc>
      </w:tr>
      <w:tr>
        <w:trPr/>
        <w:tc>
          <w:tcPr>
            <w:tcW w:w="4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left"/>
              <w:rPr/>
            </w:pPr>
            <w:r>
              <w:rPr/>
              <w:t>​</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pPr>
            <w:r>
              <w:rPr/>
              <w:t>  ​</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670.3</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670.3</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508.0</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507.7</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(102.9)</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at cost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(49.6)</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Valhi stockholders' equity</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1,023.2</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1,025.8</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 in subsidiaries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340.5</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344.9</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1,363.7</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1,370.7</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2,632.3</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2,610.0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175" w:name="Narr_rhLRgBMPOEmozdIj73R-fA"/>
      <w:bookmarkStart w:id="176" w:name="Narr_q0-Lkx9voEmCRYTxtI3a5A"/>
      <w:bookmarkEnd w:id="175"/>
      <w:bookmarkEnd w:id="176"/>
      <w:r>
        <w:rPr>
          <w:rFonts w:ascii="Times New Roman;Times;serif" w:hAnsi="Times New Roman;Times;serif"/>
          <w:sz w:val="20"/>
        </w:rPr>
        <w:t>Commitments and contingencies (Notes 13 and 16)</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9">
                <wp:simplePos x="0" y="0"/>
                <wp:positionH relativeFrom="page">
                  <wp:posOffset>0</wp:posOffset>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120"/>
        <w:ind w:left="0" w:right="0" w:hanging="0"/>
        <w:jc w:val="center"/>
        <w:rPr>
          <w:rFonts w:ascii="Times New Roman;Times;serif" w:hAnsi="Times New Roman;Times;serif"/>
          <w:b/>
          <w:sz w:val="20"/>
        </w:rPr>
      </w:pPr>
      <w:bookmarkStart w:id="177" w:name="_79c4cae9_2c8d_4fef_b04f_f039273c1e3c"/>
      <w:bookmarkEnd w:id="177"/>
      <w:r>
        <w:rPr>
          <w:rFonts w:ascii="Times New Roman;Times;serif" w:hAnsi="Times New Roman;Times;serif"/>
          <w:b/>
          <w:sz w:val="20"/>
        </w:rPr>
        <w:t>VALHI, INC. AND SUBSIDIARIES</w:t>
      </w:r>
    </w:p>
    <w:p>
      <w:pPr>
        <w:pStyle w:val="TextBody"/>
        <w:bidi w:val="0"/>
        <w:spacing w:before="0" w:after="120"/>
        <w:ind w:left="0" w:right="0" w:hanging="0"/>
        <w:jc w:val="center"/>
        <w:rPr>
          <w:rFonts w:ascii="Times New Roman;Times;serif" w:hAnsi="Times New Roman;Times;serif"/>
          <w:b/>
          <w:sz w:val="20"/>
        </w:rPr>
      </w:pPr>
      <w:bookmarkStart w:id="178" w:name="CONDENSEDCONSOLIDATEDSTATEMENTOPERATIONS"/>
      <w:bookmarkEnd w:id="178"/>
      <w:r>
        <w:rPr>
          <w:rFonts w:ascii="Times New Roman;Times;serif" w:hAnsi="Times New Roman;Times;serif"/>
          <w:b/>
          <w:sz w:val="20"/>
        </w:rPr>
        <w:t>CONDENSED CONSOLIDATED STATEMENTS OF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millions, except per share data)</w:t>
      </w:r>
    </w:p>
    <w:p>
      <w:pPr>
        <w:pStyle w:val="Normal"/>
        <w:bidi w:val="0"/>
        <w:spacing w:before="0" w:after="0"/>
        <w:jc w:val="left"/>
        <w:rPr>
          <w:sz w:val="4"/>
          <w:szCs w:val="4"/>
        </w:rPr>
      </w:pPr>
      <w:r>
        <w:rPr>
          <w:sz w:val="4"/>
          <w:szCs w:val="4"/>
        </w:rPr>
      </w:r>
      <w:bookmarkStart w:id="179" w:name="Tc_-YFZcsIyx0uccz5ew2c6JQ_26_0"/>
      <w:bookmarkStart w:id="180" w:name="Tc_XMGxQvsA8EizOUCEW6WUmA_24_5"/>
      <w:bookmarkStart w:id="181" w:name="Tc_ZCCKWTO9tEihYiZe4uTzgQ_24_2"/>
      <w:bookmarkStart w:id="182" w:name="Tc_aMMJdIqcEU-vDWk3vHnokw_24_0"/>
      <w:bookmarkStart w:id="183" w:name="Tc_PizKBINkuEmLXSMzo6fH9A_23_0"/>
      <w:bookmarkStart w:id="184" w:name="Tc_CMcQTXG72kuqvWVGmVg6cQ_21_5"/>
      <w:bookmarkStart w:id="185" w:name="Tc_2MOd9tGDSEqkEbzE2iYgow_21_2"/>
      <w:bookmarkStart w:id="186" w:name="Tc_dJQZ0No0m06djiKdcoHnKA_21_0"/>
      <w:bookmarkStart w:id="187" w:name="Tc_h1hpe6HNEUKo2BxToxQ6xQ_20_0"/>
      <w:bookmarkStart w:id="188" w:name="Tc_0guPM9PmR0qNAneqy9DKow_19_0"/>
      <w:bookmarkStart w:id="189" w:name="Tc_inHoEwxo6UyYK7LB9FZj0g_18_0"/>
      <w:bookmarkStart w:id="190" w:name="Tc_jCeFHC5uXkCeYlGoM9QD8w_17_0"/>
      <w:bookmarkStart w:id="191" w:name="Tc_1jz4bbDw2U-6m1KPwHFYCQ_15_0"/>
      <w:bookmarkStart w:id="192" w:name="Tc_rOsur4nT6UizVzBnQn1eRg_14_0"/>
      <w:bookmarkStart w:id="193" w:name="Tc_92Vv8-oa4EiB1byzwX8yWg_13_0"/>
      <w:bookmarkStart w:id="194" w:name="Tc_KRJoreAxz06vyHnLlQm0cQ_12_0"/>
      <w:bookmarkStart w:id="195" w:name="Tc_34ovzT9AXU-NYR4543r11A_11_0"/>
      <w:bookmarkStart w:id="196" w:name="Tc_IXjx_7_cJ0KU56hG8K86tQ_10_0"/>
      <w:bookmarkStart w:id="197" w:name="Tc_oZ-Y6yLRF0-OFus5Mz2Tdw_8_0"/>
      <w:bookmarkStart w:id="198" w:name="Tc_g0exVgAfjkyUu5fW3J3AcA_7_0"/>
      <w:bookmarkStart w:id="199" w:name="Tc_y4FvQPZHnUyFagpu1GYXtA_6_5"/>
      <w:bookmarkStart w:id="200" w:name="Tc_KMiucQFaVUms1ulHhKUWXA_6_2"/>
      <w:bookmarkStart w:id="201" w:name="Tc_P2g_3LIl8UmiT0mPEOxBlA_6_0"/>
      <w:bookmarkStart w:id="202" w:name="Tc_3LRzPxgZYUOOiJk0CHh6ig_5_0"/>
      <w:bookmarkStart w:id="203" w:name="Tc_uJOL4oOfTkiMBQ8b7sMekQ_4_2"/>
      <w:bookmarkStart w:id="204" w:name="Tc_G_B-dD7zfkGEpFtFJbN7_Q_3_5"/>
      <w:bookmarkStart w:id="205" w:name="Tc_xASPrFObAkWawCqaqoBPVA_3_2"/>
      <w:bookmarkStart w:id="206" w:name="Tc_BuFixfdBKEqTlbFo6satGg_2_2"/>
      <w:bookmarkStart w:id="207" w:name="Tc_Rjdibg9OlkurFSgMv3IKyw_1_2"/>
      <w:bookmarkStart w:id="208" w:name="_63b8d26f_8f2b_4f43_940b_98fafdebaab0"/>
      <w:bookmarkStart w:id="209" w:name="_8949ea2e_8cef_4239_80b6_1367b8f7e309"/>
      <w:bookmarkStart w:id="210" w:name="Tc_-YFZcsIyx0uccz5ew2c6JQ_26_0"/>
      <w:bookmarkStart w:id="211" w:name="Tc_XMGxQvsA8EizOUCEW6WUmA_24_5"/>
      <w:bookmarkStart w:id="212" w:name="Tc_ZCCKWTO9tEihYiZe4uTzgQ_24_2"/>
      <w:bookmarkStart w:id="213" w:name="Tc_aMMJdIqcEU-vDWk3vHnokw_24_0"/>
      <w:bookmarkStart w:id="214" w:name="Tc_PizKBINkuEmLXSMzo6fH9A_23_0"/>
      <w:bookmarkStart w:id="215" w:name="Tc_CMcQTXG72kuqvWVGmVg6cQ_21_5"/>
      <w:bookmarkStart w:id="216" w:name="Tc_2MOd9tGDSEqkEbzE2iYgow_21_2"/>
      <w:bookmarkStart w:id="217" w:name="Tc_dJQZ0No0m06djiKdcoHnKA_21_0"/>
      <w:bookmarkStart w:id="218" w:name="Tc_h1hpe6HNEUKo2BxToxQ6xQ_20_0"/>
      <w:bookmarkStart w:id="219" w:name="Tc_0guPM9PmR0qNAneqy9DKow_19_0"/>
      <w:bookmarkStart w:id="220" w:name="Tc_inHoEwxo6UyYK7LB9FZj0g_18_0"/>
      <w:bookmarkStart w:id="221" w:name="Tc_jCeFHC5uXkCeYlGoM9QD8w_17_0"/>
      <w:bookmarkStart w:id="222" w:name="Tc_1jz4bbDw2U-6m1KPwHFYCQ_15_0"/>
      <w:bookmarkStart w:id="223" w:name="Tc_rOsur4nT6UizVzBnQn1eRg_14_0"/>
      <w:bookmarkStart w:id="224" w:name="Tc_92Vv8-oa4EiB1byzwX8yWg_13_0"/>
      <w:bookmarkStart w:id="225" w:name="Tc_KRJoreAxz06vyHnLlQm0cQ_12_0"/>
      <w:bookmarkStart w:id="226" w:name="Tc_34ovzT9AXU-NYR4543r11A_11_0"/>
      <w:bookmarkStart w:id="227" w:name="Tc_IXjx_7_cJ0KU56hG8K86tQ_10_0"/>
      <w:bookmarkStart w:id="228" w:name="Tc_oZ-Y6yLRF0-OFus5Mz2Tdw_8_0"/>
      <w:bookmarkStart w:id="229" w:name="Tc_g0exVgAfjkyUu5fW3J3AcA_7_0"/>
      <w:bookmarkStart w:id="230" w:name="Tc_y4FvQPZHnUyFagpu1GYXtA_6_5"/>
      <w:bookmarkStart w:id="231" w:name="Tc_KMiucQFaVUms1ulHhKUWXA_6_2"/>
      <w:bookmarkStart w:id="232" w:name="Tc_P2g_3LIl8UmiT0mPEOxBlA_6_0"/>
      <w:bookmarkStart w:id="233" w:name="Tc_3LRzPxgZYUOOiJk0CHh6ig_5_0"/>
      <w:bookmarkStart w:id="234" w:name="Tc_uJOL4oOfTkiMBQ8b7sMekQ_4_2"/>
      <w:bookmarkStart w:id="235" w:name="Tc_G_B-dD7zfkGEpFtFJbN7_Q_3_5"/>
      <w:bookmarkStart w:id="236" w:name="Tc_xASPrFObAkWawCqaqoBPVA_3_2"/>
      <w:bookmarkStart w:id="237" w:name="Tc_BuFixfdBKEqTlbFo6satGg_2_2"/>
      <w:bookmarkStart w:id="238" w:name="Tc_Rjdibg9OlkurFSgMv3IKyw_1_2"/>
      <w:bookmarkStart w:id="239" w:name="_63b8d26f_8f2b_4f43_940b_98fafdebaab0"/>
      <w:bookmarkStart w:id="240" w:name="_8949ea2e_8cef_4239_80b6_1367b8f7e3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tbl>
      <w:tblPr>
        <w:tblW w:w="7417" w:type="dxa"/>
        <w:jc w:val="left"/>
        <w:tblInd w:w="0" w:type="dxa"/>
        <w:tblLayout w:type="fixed"/>
        <w:tblCellMar>
          <w:top w:w="0" w:type="dxa"/>
          <w:left w:w="0" w:type="dxa"/>
          <w:bottom w:w="0" w:type="dxa"/>
          <w:right w:w="0" w:type="dxa"/>
        </w:tblCellMar>
      </w:tblPr>
      <w:tblGrid>
        <w:gridCol w:w="5116"/>
        <w:gridCol w:w="346"/>
        <w:gridCol w:w="211"/>
        <w:gridCol w:w="571"/>
        <w:gridCol w:w="346"/>
        <w:gridCol w:w="211"/>
        <w:gridCol w:w="616"/>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248660" cy="175260"/>
                      <wp:effectExtent l="0" t="0" r="0" b="0"/>
                      <wp:wrapNone/>
                      <wp:docPr id="29" name="Frame29"/>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62585" cy="175260"/>
                      <wp:effectExtent l="0" t="0" r="0" b="0"/>
                      <wp:wrapNone/>
                      <wp:docPr id="32" name="Frame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91160" cy="175260"/>
                      <wp:effectExtent l="0" t="0" r="0" b="0"/>
                      <wp:wrapNone/>
                      <wp:docPr id="35" name="Frame3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5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741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5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and other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  ​</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560.1</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and 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564.2</w:t>
            </w:r>
          </w:p>
        </w:tc>
      </w:tr>
      <w:tr>
        <w:trPr/>
        <w:tc>
          <w:tcPr>
            <w:tcW w:w="51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and other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457.1</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77.5</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components of net periodic pension and OPEB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and 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550.1</w: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expense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 in net income of subsidiaries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Valhi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w: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attributable to Valhi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income per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.59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.07 </w:t>
            </w:r>
          </w:p>
        </w:tc>
      </w:tr>
      <w:tr>
        <w:trPr/>
        <w:tc>
          <w:tcPr>
            <w:tcW w:w="51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28.5</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7">
                <wp:simplePos x="0" y="0"/>
                <wp:positionH relativeFrom="page">
                  <wp:posOffset>0</wp:posOffset>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120"/>
        <w:ind w:left="0" w:right="0" w:hanging="0"/>
        <w:jc w:val="center"/>
        <w:rPr>
          <w:rFonts w:ascii="Times New Roman;Times;serif" w:hAnsi="Times New Roman;Times;serif"/>
          <w:b/>
          <w:sz w:val="20"/>
        </w:rPr>
      </w:pPr>
      <w:bookmarkStart w:id="241" w:name="_9eb493e1_aaf8_4efb_8f05_ddb7d0762ffa"/>
      <w:bookmarkEnd w:id="241"/>
      <w:r>
        <w:rPr>
          <w:rFonts w:ascii="Times New Roman;Times;serif" w:hAnsi="Times New Roman;Times;serif"/>
          <w:b/>
          <w:sz w:val="20"/>
        </w:rPr>
        <w:t>VALHI, INC. AND SUBSIDIARIES</w:t>
      </w:r>
    </w:p>
    <w:p>
      <w:pPr>
        <w:pStyle w:val="TextBody"/>
        <w:bidi w:val="0"/>
        <w:spacing w:before="0" w:after="120"/>
        <w:ind w:left="0" w:right="0" w:hanging="0"/>
        <w:jc w:val="center"/>
        <w:rPr>
          <w:rFonts w:ascii="Times New Roman;Times;serif" w:hAnsi="Times New Roman;Times;serif"/>
          <w:b/>
          <w:sz w:val="20"/>
        </w:rPr>
      </w:pPr>
      <w:bookmarkStart w:id="242" w:name="CONDENSEDCONSOLIDATEDSTATEMENTSOFCOMPREH"/>
      <w:bookmarkEnd w:id="242"/>
      <w:r>
        <w:rPr>
          <w:rFonts w:ascii="Times New Roman;Times;serif" w:hAnsi="Times New Roman;Times;serif"/>
          <w:b/>
          <w:sz w:val="20"/>
        </w:rPr>
        <w:t>CONDENSED CONSOLIDATED STATEMENTS OF COMPREHENSIVE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millions)</w:t>
      </w:r>
    </w:p>
    <w:p>
      <w:pPr>
        <w:pStyle w:val="Normal"/>
        <w:bidi w:val="0"/>
        <w:spacing w:before="0" w:after="0"/>
        <w:jc w:val="left"/>
        <w:rPr>
          <w:sz w:val="4"/>
          <w:szCs w:val="4"/>
        </w:rPr>
      </w:pPr>
      <w:r>
        <w:rPr>
          <w:sz w:val="4"/>
          <w:szCs w:val="4"/>
        </w:rPr>
      </w:r>
      <w:bookmarkStart w:id="243" w:name="Tc_M0gC88HwfECUs5VmYZi2bQ_13_5"/>
      <w:bookmarkStart w:id="244" w:name="Tc_Zust9uG87kefHWTjnxnTuA_13_2"/>
      <w:bookmarkStart w:id="245" w:name="Tc_6EZRTONKyUeyfr5MW5RX9A_13_0"/>
      <w:bookmarkStart w:id="246" w:name="Tc_yVcqkxH_Aku0aZ76qIiycw_12_0"/>
      <w:bookmarkStart w:id="247" w:name="Tc_zebx-gLIpkqewZbIUeZO0A_11_0"/>
      <w:bookmarkStart w:id="248" w:name="Tc_VVpZhoAArUiE83rfYvUa4g_10_0"/>
      <w:bookmarkStart w:id="249" w:name="Tc_8cWuOooEXUOvJ-RlGgcz0g_9_6"/>
      <w:bookmarkStart w:id="250" w:name="Tc_zekuH617mU-ucTVD1xtZ3g_9_0"/>
      <w:bookmarkStart w:id="251" w:name="Tc_dQX9h1qn2UyInYk3TiisFw_8_0"/>
      <w:bookmarkStart w:id="252" w:name="Tc_PkNFI-lJTEa3snxj88LtgQ_7_0"/>
      <w:bookmarkStart w:id="253" w:name="Tc_9hhdxPq_d0-scEv8ClLZaA_6_0"/>
      <w:bookmarkStart w:id="254" w:name="Tc_nnR8Z6p1o0aqsljwTlM3CA_5_5"/>
      <w:bookmarkStart w:id="255" w:name="Tc_uounky8NY0inL4i53fh8OA_5_2"/>
      <w:bookmarkStart w:id="256" w:name="Tc_sXNG5_6p9k6FHILn7zFD7A_5_0"/>
      <w:bookmarkStart w:id="257" w:name="Tc_wWx4JNgq30OyOxItBKh6Dg_4_2"/>
      <w:bookmarkStart w:id="258" w:name="Tc_xvPwWcJLvEqFdvYqjGr3qg_3_5"/>
      <w:bookmarkStart w:id="259" w:name="Tc_h8k7dV9oKECx2KuVFYgNQg_3_2"/>
      <w:bookmarkStart w:id="260" w:name="Tc_xMsXmkEra0WNznEvMfnSUA_2_2"/>
      <w:bookmarkStart w:id="261" w:name="Tc_r6jBzDDzZ0G0IzBeeiXiKg_1_2"/>
      <w:bookmarkStart w:id="262" w:name="_19442f2d_a851_4a05_9152_e6b0b32eeee5"/>
      <w:bookmarkStart w:id="263" w:name="Tc_M0gC88HwfECUs5VmYZi2bQ_13_5"/>
      <w:bookmarkStart w:id="264" w:name="Tc_Zust9uG87kefHWTjnxnTuA_13_2"/>
      <w:bookmarkStart w:id="265" w:name="Tc_6EZRTONKyUeyfr5MW5RX9A_13_0"/>
      <w:bookmarkStart w:id="266" w:name="Tc_yVcqkxH_Aku0aZ76qIiycw_12_0"/>
      <w:bookmarkStart w:id="267" w:name="Tc_zebx-gLIpkqewZbIUeZO0A_11_0"/>
      <w:bookmarkStart w:id="268" w:name="Tc_VVpZhoAArUiE83rfYvUa4g_10_0"/>
      <w:bookmarkStart w:id="269" w:name="Tc_8cWuOooEXUOvJ-RlGgcz0g_9_6"/>
      <w:bookmarkStart w:id="270" w:name="Tc_zekuH617mU-ucTVD1xtZ3g_9_0"/>
      <w:bookmarkStart w:id="271" w:name="Tc_dQX9h1qn2UyInYk3TiisFw_8_0"/>
      <w:bookmarkStart w:id="272" w:name="Tc_PkNFI-lJTEa3snxj88LtgQ_7_0"/>
      <w:bookmarkStart w:id="273" w:name="Tc_9hhdxPq_d0-scEv8ClLZaA_6_0"/>
      <w:bookmarkStart w:id="274" w:name="Tc_nnR8Z6p1o0aqsljwTlM3CA_5_5"/>
      <w:bookmarkStart w:id="275" w:name="Tc_uounky8NY0inL4i53fh8OA_5_2"/>
      <w:bookmarkStart w:id="276" w:name="Tc_sXNG5_6p9k6FHILn7zFD7A_5_0"/>
      <w:bookmarkStart w:id="277" w:name="Tc_wWx4JNgq30OyOxItBKh6Dg_4_2"/>
      <w:bookmarkStart w:id="278" w:name="Tc_xvPwWcJLvEqFdvYqjGr3qg_3_5"/>
      <w:bookmarkStart w:id="279" w:name="Tc_h8k7dV9oKECx2KuVFYgNQg_3_2"/>
      <w:bookmarkStart w:id="280" w:name="Tc_xMsXmkEra0WNznEvMfnSUA_2_2"/>
      <w:bookmarkStart w:id="281" w:name="Tc_r6jBzDDzZ0G0IzBeeiXiKg_1_2"/>
      <w:bookmarkStart w:id="282" w:name="_19442f2d_a851_4a05_9152_e6b0b32eeee5"/>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tbl>
      <w:tblPr>
        <w:tblW w:w="7410" w:type="dxa"/>
        <w:jc w:val="left"/>
        <w:tblInd w:w="0" w:type="dxa"/>
        <w:tblLayout w:type="fixed"/>
        <w:tblCellMar>
          <w:top w:w="0" w:type="dxa"/>
          <w:left w:w="0" w:type="dxa"/>
          <w:bottom w:w="0" w:type="dxa"/>
          <w:right w:w="0" w:type="dxa"/>
        </w:tblCellMar>
      </w:tblPr>
      <w:tblGrid>
        <w:gridCol w:w="5161"/>
        <w:gridCol w:w="346"/>
        <w:gridCol w:w="230"/>
        <w:gridCol w:w="508"/>
        <w:gridCol w:w="377"/>
        <w:gridCol w:w="230"/>
        <w:gridCol w:w="558"/>
      </w:tblGrid>
      <w:tr>
        <w:trPr/>
        <w:tc>
          <w:tcPr>
            <w:tcW w:w="5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277235" cy="175260"/>
                      <wp:effectExtent l="0" t="0" r="0" b="0"/>
                      <wp:wrapNone/>
                      <wp:docPr id="37" name="Frame37"/>
                      <a:graphic xmlns:a="http://schemas.openxmlformats.org/drawingml/2006/main">
                        <a:graphicData uri="http://schemas.microsoft.com/office/word/2010/wordprocessingShape">
                          <wps:wsp>
                            <wps:cNvSpPr txBox="1"/>
                            <wps:spPr>
                              <a:xfrm>
                                <a:off x="0" y="0"/>
                                <a:ext cx="3277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6050" cy="175260"/>
                      <wp:effectExtent l="0" t="0" r="0" b="0"/>
                      <wp:wrapNone/>
                      <wp:docPr id="39" name="Frame3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22580" cy="175260"/>
                      <wp:effectExtent l="0" t="0" r="0" b="0"/>
                      <wp:wrapNone/>
                      <wp:docPr id="40" name="Frame40"/>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39395" cy="175260"/>
                      <wp:effectExtent l="0" t="0" r="0" b="0"/>
                      <wp:wrapNone/>
                      <wp:docPr id="41" name="Frame41"/>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6050" cy="175260"/>
                      <wp:effectExtent l="0" t="0" r="0" b="0"/>
                      <wp:wrapNone/>
                      <wp:docPr id="42" name="Frame4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54330" cy="175260"/>
                      <wp:effectExtent l="0" t="0" r="0" b="0"/>
                      <wp:wrapNone/>
                      <wp:docPr id="43" name="Frame43"/>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0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7" w:type="dxa"/>
            <w:tcBorders/>
            <w:vAlign w:val="center"/>
          </w:tcPr>
          <w:p>
            <w:pPr>
              <w:pStyle w:val="TableContents"/>
              <w:bidi w:val="0"/>
              <w:spacing w:before="0" w:after="0"/>
              <w:ind w:left="0" w:right="0" w:hanging="0"/>
              <w:jc w:val="left"/>
              <w:rPr/>
            </w:pPr>
            <w:r>
              <w:rPr/>
              <w:t>  ​ ​ ​</w:t>
            </w:r>
          </w:p>
        </w:tc>
        <w:tc>
          <w:tcPr>
            <w:tcW w:w="7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741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0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77"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pPr>
            <w:r>
              <w:rPr/>
              <w:t>  ​</w:t>
            </w:r>
          </w:p>
        </w:tc>
        <w:tc>
          <w:tcPr>
            <w:tcW w:w="37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pPr>
            <w:r>
              <w:rPr/>
              <w:t>  ​</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5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7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55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Defined benefit pension plans</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7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77"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net</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77"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5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7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55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attributable to noncontrolling interest</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77"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attributable to Valhi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77"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4.9</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45">
                <wp:simplePos x="0" y="0"/>
                <wp:positionH relativeFrom="page">
                  <wp:posOffset>0</wp:posOffset>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60"/>
        <w:ind w:left="0" w:right="0" w:hanging="0"/>
        <w:jc w:val="center"/>
        <w:rPr>
          <w:rFonts w:ascii="Times New Roman;Times;serif" w:hAnsi="Times New Roman;Times;serif"/>
          <w:b/>
          <w:sz w:val="20"/>
        </w:rPr>
      </w:pPr>
      <w:bookmarkStart w:id="283" w:name="_4529e008_9611_44af_9c5e_4b16da68b382"/>
      <w:bookmarkEnd w:id="283"/>
      <w:r>
        <w:rPr>
          <w:rFonts w:ascii="Times New Roman;Times;serif" w:hAnsi="Times New Roman;Times;serif"/>
          <w:b/>
          <w:sz w:val="20"/>
        </w:rPr>
        <w:t>VALHI, INC. AND SUBSIDIARIES</w:t>
      </w:r>
    </w:p>
    <w:p>
      <w:pPr>
        <w:pStyle w:val="TextBody"/>
        <w:bidi w:val="0"/>
        <w:spacing w:before="0" w:after="60"/>
        <w:ind w:left="0" w:right="0" w:hanging="0"/>
        <w:jc w:val="center"/>
        <w:rPr>
          <w:rFonts w:ascii="Times New Roman;Times;serif" w:hAnsi="Times New Roman;Times;serif"/>
          <w:b/>
          <w:sz w:val="20"/>
        </w:rPr>
      </w:pPr>
      <w:bookmarkStart w:id="284" w:name="CONDENSEDCONSOLIDATEDSTATEMENTOFEQUITY"/>
      <w:bookmarkEnd w:id="284"/>
      <w:r>
        <w:rPr>
          <w:rFonts w:ascii="Times New Roman;Times;serif" w:hAnsi="Times New Roman;Times;serif"/>
          <w:b/>
          <w:sz w:val="20"/>
        </w:rPr>
        <w:t>CONDENSED CONSOLIDATED STATEMENTS OF STOCKHOLDERS’ EQUITY</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millions)</w:t>
      </w:r>
    </w:p>
    <w:p>
      <w:pPr>
        <w:pStyle w:val="Normal"/>
        <w:bidi w:val="0"/>
        <w:spacing w:before="0" w:after="0"/>
        <w:jc w:val="left"/>
        <w:rPr>
          <w:sz w:val="4"/>
          <w:szCs w:val="4"/>
        </w:rPr>
      </w:pPr>
      <w:r>
        <w:rPr>
          <w:sz w:val="4"/>
          <w:szCs w:val="4"/>
        </w:rPr>
      </w:r>
      <w:bookmarkStart w:id="285" w:name="Tc_zypFy60FlUOuGfAgHU_xow_20_20"/>
      <w:bookmarkStart w:id="286" w:name="Tc_BQ8VXXJH90erlxEZwzX5Xg_20_17"/>
      <w:bookmarkStart w:id="287" w:name="Tc_cAN_QPzrKUW2HWtgLn3BOg_20_14"/>
      <w:bookmarkStart w:id="288" w:name="Tc_0zNwl1JjRU28KKfd0fbTng_20_11"/>
      <w:bookmarkStart w:id="289" w:name="Tc_XjW3HRnNW025q0HkiKBh_Q_20_8"/>
      <w:bookmarkStart w:id="290" w:name="Tc_6LZ77lgE50e2j0UH9LaL3A_20_5"/>
      <w:bookmarkStart w:id="291" w:name="Tc_wLK-BjBH7Ui_XsPirgcecw_20_2"/>
      <w:bookmarkStart w:id="292" w:name="Tc_Wc4IZH9tJ0yn4lwdYSGLvg_20_0"/>
      <w:bookmarkStart w:id="293" w:name="Tc_zWV3uqO_TUagtcJBKR59Lw_18_18"/>
      <w:bookmarkStart w:id="294" w:name="Tc_aFaxTM6YM0WOjHBQc3vggw_18_15"/>
      <w:bookmarkStart w:id="295" w:name="Tc_c6WPuI8IzUSyJauA-XzI4Q_18_12"/>
      <w:bookmarkStart w:id="296" w:name="Tc_BSH2Uf6HGEOsm7ZavM7QKw_18_6"/>
      <w:bookmarkStart w:id="297" w:name="Tc_YvAcOawWBk6weFmp1sNp1g_18_3"/>
      <w:bookmarkStart w:id="298" w:name="Tc_M7IRqRig7kqJ3WKwCNHVjQ_18_0"/>
      <w:bookmarkStart w:id="299" w:name="Tc_n3pd1DOBDkKxJGctrTc2Vg_17_15"/>
      <w:bookmarkStart w:id="300" w:name="Tc_kW3pSgZWc0qZIDT9XyzFdA_17_12"/>
      <w:bookmarkStart w:id="301" w:name="Tc_Lzzb0t6AGkWwkW9LV9sAtA_17_9"/>
      <w:bookmarkStart w:id="302" w:name="Tc_VMgTXuYEa066xCb7zjIi8A_17_6"/>
      <w:bookmarkStart w:id="303" w:name="Tc_9whseldwU06P4m9cmmJ6FQ_17_3"/>
      <w:bookmarkStart w:id="304" w:name="Tc__J9AVIigOUqApdClStRLrQ_17_0"/>
      <w:bookmarkStart w:id="305" w:name="Tc_A-6sirJ71UODbZa5CLJzgQ_16_15"/>
      <w:bookmarkStart w:id="306" w:name="Tc__qyQBKR_eEaMODQb10cIKg_16_9"/>
      <w:bookmarkStart w:id="307" w:name="Tc_O5z94xzgdkiKKLlWAZE1hw_16_6"/>
      <w:bookmarkStart w:id="308" w:name="Tc_GRwlxY6fB0GaIH9SKOrI-A_16_3"/>
      <w:bookmarkStart w:id="309" w:name="Tc_7dKLSQTlcEuzJs_YBbFltA_16_0"/>
      <w:bookmarkStart w:id="310" w:name="Tc_R4G2n7Jzx0eh2b7YbviIxA_15_15"/>
      <w:bookmarkStart w:id="311" w:name="Tc_-VWsaNpiXEyT5VxiTbshIA_15_12"/>
      <w:bookmarkStart w:id="312" w:name="Tc_37KrMqITxUKkZjfF4qHM_g_15_6"/>
      <w:bookmarkStart w:id="313" w:name="Tc_TY4zUpL0kkep049uX6zYVQ_15_3"/>
      <w:bookmarkStart w:id="314" w:name="Tc_e56KRjbiHkiI7JigJynj0Q_15_0"/>
      <w:bookmarkStart w:id="315" w:name="Tc_d7bSXS123EySWkFc1KisBg_14_20"/>
      <w:bookmarkStart w:id="316" w:name="Tc_KL8cS2iuWkOJoVbyQsGPSg_14_17"/>
      <w:bookmarkStart w:id="317" w:name="Tc_hoAAADGaWkmYGEFE2ThcWQ_14_14"/>
      <w:bookmarkStart w:id="318" w:name="Tc_6E1ib3ti1EWzfu1JhJETnw_14_11"/>
      <w:bookmarkStart w:id="319" w:name="Tc_MlAL7G4jrECnZ_Zdu8b4Tw_14_8"/>
      <w:bookmarkStart w:id="320" w:name="Tc_z6mN4ojPYU-u6pf6oV288w_14_5"/>
      <w:bookmarkStart w:id="321" w:name="Tc_COdoi8niq0i6mm69x14jYw_14_2"/>
      <w:bookmarkStart w:id="322" w:name="Tc__geu4uYpxEy67PHkkNCqNQ_14_0"/>
      <w:bookmarkStart w:id="323" w:name="Tc_bIhtY9hCgEGKlrlT4sztNQ_12_20"/>
      <w:bookmarkStart w:id="324" w:name="Tc_Oavf08pyGkS80PDicpr64Q_12_17"/>
      <w:bookmarkStart w:id="325" w:name="Tc_XIXroy_Lz0Kg7YS2ntbWXw_12_14"/>
      <w:bookmarkStart w:id="326" w:name="Tc_nFO0aw0hekK-ZOgJ0D7YKQ_12_11"/>
      <w:bookmarkStart w:id="327" w:name="Tc_NWF_Ok32fEWzP4vKosJuNA_12_8"/>
      <w:bookmarkStart w:id="328" w:name="Tc_Ypjc-Qp-KUuCFsp42qOnqQ_12_5"/>
      <w:bookmarkStart w:id="329" w:name="Tc_lJXUiap5H06SLYbtjAjAtw_12_2"/>
      <w:bookmarkStart w:id="330" w:name="Tc_XBSC01MU6kyfvV6rbiTBDw_12_0"/>
      <w:bookmarkStart w:id="331" w:name="Tc_K9p87kQKgk2q1429DAuxtA_10_18"/>
      <w:bookmarkStart w:id="332" w:name="Tc_aKX45LjJPEOBvXJBakHpug_10_15"/>
      <w:bookmarkStart w:id="333" w:name="Tc_3-zJLX5Xi0W8ESKi78GcQg_10_12"/>
      <w:bookmarkStart w:id="334" w:name="Tc_45FA1DaMkEew_6W2qMfrfA_10_6"/>
      <w:bookmarkStart w:id="335" w:name="Tc_NqKRlzUST0-fQVeqWewovw_10_3"/>
      <w:bookmarkStart w:id="336" w:name="Tc__OnC3lYqlkSZZLcf2UyUkA_10_0"/>
      <w:bookmarkStart w:id="337" w:name="Tc_4dlCdqpuEUOAUWUvEBh15A_9_15"/>
      <w:bookmarkStart w:id="338" w:name="Tc_G_R2K8h8yUCmqk9jaPxuJg_9_12"/>
      <w:bookmarkStart w:id="339" w:name="Tc_Vr968XGq3EG2nN68IUM0xA_9_9"/>
      <w:bookmarkStart w:id="340" w:name="Tc_65unDPCEFk6wde1bpQnb5Q_9_6"/>
      <w:bookmarkStart w:id="341" w:name="Tc_DJMsq1TB6ECW18W4dclVdg_9_3"/>
      <w:bookmarkStart w:id="342" w:name="Tc_URyMHTOVBUq_xOX2NYT_Xw_9_0"/>
      <w:bookmarkStart w:id="343" w:name="Tc_hcgCIbsYwkCoQi3lcEb9tw_8_15"/>
      <w:bookmarkStart w:id="344" w:name="Tc_UOzBQomj1kKRNai8AAo0pw_8_9"/>
      <w:bookmarkStart w:id="345" w:name="Tc_IK9Ro71KYEiZfIUrsanamA_8_6"/>
      <w:bookmarkStart w:id="346" w:name="Tc_eHkB8d8rPEmSB7Dh6LDSig_8_3"/>
      <w:bookmarkStart w:id="347" w:name="Tc_2z30ktL7n0Gge8l8So33Ig_8_0"/>
      <w:bookmarkStart w:id="348" w:name="Tc_ugzytLXykECh7khSHbh8DA_7_15"/>
      <w:bookmarkStart w:id="349" w:name="Tc_ZueuCWLAfkiq7od2qg79YA_7_12"/>
      <w:bookmarkStart w:id="350" w:name="Tc_MDLbBHQPBkuU6F6t29PcCA_7_6"/>
      <w:bookmarkStart w:id="351" w:name="Tc_uDEZ6KDYx0eaDyzuLKpPLg_7_3"/>
      <w:bookmarkStart w:id="352" w:name="Tc_4tUJF6XU2EOrToakz__qWQ_7_0"/>
      <w:bookmarkStart w:id="353" w:name="Tc_3FgR7uSyRUm0V6xD-BKEEg_6_20"/>
      <w:bookmarkStart w:id="354" w:name="Tc_Rb4R94jU7kOUzgHicTdRMw_6_17"/>
      <w:bookmarkStart w:id="355" w:name="Tc_G1gMnK47mEeRDzG3DBGnMg_6_14"/>
      <w:bookmarkStart w:id="356" w:name="Tc_aPw6GTi-PU2tpQcfWxvu2w_6_11"/>
      <w:bookmarkStart w:id="357" w:name="Tc_UZ398DgYpUiDGzd4aPYPpg_6_8"/>
      <w:bookmarkStart w:id="358" w:name="Tc_NrbrD3uCpk67c82xY2XNWQ_6_5"/>
      <w:bookmarkStart w:id="359" w:name="Tc_4jZvvLbExUuqH0DmpsisDw_6_2"/>
      <w:bookmarkStart w:id="360" w:name="Tc_QdxqgrHwGEqYGKNQ0ItYXA_6_0"/>
      <w:bookmarkStart w:id="361" w:name="Tc_Q_HQLf0Hh0ib5PcMpmR-Iw_5_20"/>
      <w:bookmarkStart w:id="362" w:name="Tc_J3ibEHYoIUKh9tHstwvEwQ_5_17"/>
      <w:bookmarkStart w:id="363" w:name="Tc_0JmOb5iLcEmvefhpUta-Lw_5_14"/>
      <w:bookmarkStart w:id="364" w:name="Tc_UkHeqj6IOE2VRJh0y2fGkw_5_11"/>
      <w:bookmarkStart w:id="365" w:name="Tc_1eb3ioau2k6FGN71zzYjCQ_5_8"/>
      <w:bookmarkStart w:id="366" w:name="Tc_BaRRcATOBUKO2f4B4aPZ5Q_5_5"/>
      <w:bookmarkStart w:id="367" w:name="Tc_eRbA5c67BUWnYt79cVgEdQ_5_2"/>
      <w:bookmarkStart w:id="368" w:name="Tc_46P9PW5ZaUOhwmS8K6waXw_4_17"/>
      <w:bookmarkStart w:id="369" w:name="Tc_d2WVHWHn-kmSqEkKYVj3Ag_4_14"/>
      <w:bookmarkStart w:id="370" w:name="Tc_vFJ7wmqEXEK5kntvK9x1IQ_4_11"/>
      <w:bookmarkStart w:id="371" w:name="Tc_PqZ_QmRc00i9gG4wYf4wZA_4_8"/>
      <w:bookmarkStart w:id="372" w:name="Tc_pV5O5_7OpkeajgbLQU47AA_4_5"/>
      <w:bookmarkStart w:id="373" w:name="Tc_4v2jzuEdYUuR59G404tk-g_4_2"/>
      <w:bookmarkStart w:id="374" w:name="Tc_mPxPbpx4406N4fHKUkaoow_3_17"/>
      <w:bookmarkStart w:id="375" w:name="Tc_6I8IaXvdzkGWhMRAb8R21g_3_11"/>
      <w:bookmarkStart w:id="376" w:name="Tc_jGoFuRw0dkmU_W3cdzTvBA_3_5"/>
      <w:bookmarkStart w:id="377" w:name="Tc_WE8ipPFoOkyOI8wBKo4u6w_2_11"/>
      <w:bookmarkStart w:id="378" w:name="Tc_rOLnwxaCVkmjRvvIesbn6g_1_2"/>
      <w:bookmarkStart w:id="379" w:name="_bc3165fc_fb50_45f9_a3b3_1d98391c5157"/>
      <w:bookmarkStart w:id="380" w:name="Tc_zypFy60FlUOuGfAgHU_xow_20_20"/>
      <w:bookmarkStart w:id="381" w:name="Tc_BQ8VXXJH90erlxEZwzX5Xg_20_17"/>
      <w:bookmarkStart w:id="382" w:name="Tc_cAN_QPzrKUW2HWtgLn3BOg_20_14"/>
      <w:bookmarkStart w:id="383" w:name="Tc_0zNwl1JjRU28KKfd0fbTng_20_11"/>
      <w:bookmarkStart w:id="384" w:name="Tc_XjW3HRnNW025q0HkiKBh_Q_20_8"/>
      <w:bookmarkStart w:id="385" w:name="Tc_6LZ77lgE50e2j0UH9LaL3A_20_5"/>
      <w:bookmarkStart w:id="386" w:name="Tc_wLK-BjBH7Ui_XsPirgcecw_20_2"/>
      <w:bookmarkStart w:id="387" w:name="Tc_Wc4IZH9tJ0yn4lwdYSGLvg_20_0"/>
      <w:bookmarkStart w:id="388" w:name="Tc_zWV3uqO_TUagtcJBKR59Lw_18_18"/>
      <w:bookmarkStart w:id="389" w:name="Tc_aFaxTM6YM0WOjHBQc3vggw_18_15"/>
      <w:bookmarkStart w:id="390" w:name="Tc_c6WPuI8IzUSyJauA-XzI4Q_18_12"/>
      <w:bookmarkStart w:id="391" w:name="Tc_BSH2Uf6HGEOsm7ZavM7QKw_18_6"/>
      <w:bookmarkStart w:id="392" w:name="Tc_YvAcOawWBk6weFmp1sNp1g_18_3"/>
      <w:bookmarkStart w:id="393" w:name="Tc_M7IRqRig7kqJ3WKwCNHVjQ_18_0"/>
      <w:bookmarkStart w:id="394" w:name="Tc_n3pd1DOBDkKxJGctrTc2Vg_17_15"/>
      <w:bookmarkStart w:id="395" w:name="Tc_kW3pSgZWc0qZIDT9XyzFdA_17_12"/>
      <w:bookmarkStart w:id="396" w:name="Tc_Lzzb0t6AGkWwkW9LV9sAtA_17_9"/>
      <w:bookmarkStart w:id="397" w:name="Tc_VMgTXuYEa066xCb7zjIi8A_17_6"/>
      <w:bookmarkStart w:id="398" w:name="Tc_9whseldwU06P4m9cmmJ6FQ_17_3"/>
      <w:bookmarkStart w:id="399" w:name="Tc__J9AVIigOUqApdClStRLrQ_17_0"/>
      <w:bookmarkStart w:id="400" w:name="Tc_A-6sirJ71UODbZa5CLJzgQ_16_15"/>
      <w:bookmarkStart w:id="401" w:name="Tc__qyQBKR_eEaMODQb10cIKg_16_9"/>
      <w:bookmarkStart w:id="402" w:name="Tc_O5z94xzgdkiKKLlWAZE1hw_16_6"/>
      <w:bookmarkStart w:id="403" w:name="Tc_GRwlxY6fB0GaIH9SKOrI-A_16_3"/>
      <w:bookmarkStart w:id="404" w:name="Tc_7dKLSQTlcEuzJs_YBbFltA_16_0"/>
      <w:bookmarkStart w:id="405" w:name="Tc_R4G2n7Jzx0eh2b7YbviIxA_15_15"/>
      <w:bookmarkStart w:id="406" w:name="Tc_-VWsaNpiXEyT5VxiTbshIA_15_12"/>
      <w:bookmarkStart w:id="407" w:name="Tc_37KrMqITxUKkZjfF4qHM_g_15_6"/>
      <w:bookmarkStart w:id="408" w:name="Tc_TY4zUpL0kkep049uX6zYVQ_15_3"/>
      <w:bookmarkStart w:id="409" w:name="Tc_e56KRjbiHkiI7JigJynj0Q_15_0"/>
      <w:bookmarkStart w:id="410" w:name="Tc_d7bSXS123EySWkFc1KisBg_14_20"/>
      <w:bookmarkStart w:id="411" w:name="Tc_KL8cS2iuWkOJoVbyQsGPSg_14_17"/>
      <w:bookmarkStart w:id="412" w:name="Tc_hoAAADGaWkmYGEFE2ThcWQ_14_14"/>
      <w:bookmarkStart w:id="413" w:name="Tc_6E1ib3ti1EWzfu1JhJETnw_14_11"/>
      <w:bookmarkStart w:id="414" w:name="Tc_MlAL7G4jrECnZ_Zdu8b4Tw_14_8"/>
      <w:bookmarkStart w:id="415" w:name="Tc_z6mN4ojPYU-u6pf6oV288w_14_5"/>
      <w:bookmarkStart w:id="416" w:name="Tc_COdoi8niq0i6mm69x14jYw_14_2"/>
      <w:bookmarkStart w:id="417" w:name="Tc__geu4uYpxEy67PHkkNCqNQ_14_0"/>
      <w:bookmarkStart w:id="418" w:name="Tc_bIhtY9hCgEGKlrlT4sztNQ_12_20"/>
      <w:bookmarkStart w:id="419" w:name="Tc_Oavf08pyGkS80PDicpr64Q_12_17"/>
      <w:bookmarkStart w:id="420" w:name="Tc_XIXroy_Lz0Kg7YS2ntbWXw_12_14"/>
      <w:bookmarkStart w:id="421" w:name="Tc_nFO0aw0hekK-ZOgJ0D7YKQ_12_11"/>
      <w:bookmarkStart w:id="422" w:name="Tc_NWF_Ok32fEWzP4vKosJuNA_12_8"/>
      <w:bookmarkStart w:id="423" w:name="Tc_Ypjc-Qp-KUuCFsp42qOnqQ_12_5"/>
      <w:bookmarkStart w:id="424" w:name="Tc_lJXUiap5H06SLYbtjAjAtw_12_2"/>
      <w:bookmarkStart w:id="425" w:name="Tc_XBSC01MU6kyfvV6rbiTBDw_12_0"/>
      <w:bookmarkStart w:id="426" w:name="Tc_K9p87kQKgk2q1429DAuxtA_10_18"/>
      <w:bookmarkStart w:id="427" w:name="Tc_aKX45LjJPEOBvXJBakHpug_10_15"/>
      <w:bookmarkStart w:id="428" w:name="Tc_3-zJLX5Xi0W8ESKi78GcQg_10_12"/>
      <w:bookmarkStart w:id="429" w:name="Tc_45FA1DaMkEew_6W2qMfrfA_10_6"/>
      <w:bookmarkStart w:id="430" w:name="Tc_NqKRlzUST0-fQVeqWewovw_10_3"/>
      <w:bookmarkStart w:id="431" w:name="Tc__OnC3lYqlkSZZLcf2UyUkA_10_0"/>
      <w:bookmarkStart w:id="432" w:name="Tc_4dlCdqpuEUOAUWUvEBh15A_9_15"/>
      <w:bookmarkStart w:id="433" w:name="Tc_G_R2K8h8yUCmqk9jaPxuJg_9_12"/>
      <w:bookmarkStart w:id="434" w:name="Tc_Vr968XGq3EG2nN68IUM0xA_9_9"/>
      <w:bookmarkStart w:id="435" w:name="Tc_65unDPCEFk6wde1bpQnb5Q_9_6"/>
      <w:bookmarkStart w:id="436" w:name="Tc_DJMsq1TB6ECW18W4dclVdg_9_3"/>
      <w:bookmarkStart w:id="437" w:name="Tc_URyMHTOVBUq_xOX2NYT_Xw_9_0"/>
      <w:bookmarkStart w:id="438" w:name="Tc_hcgCIbsYwkCoQi3lcEb9tw_8_15"/>
      <w:bookmarkStart w:id="439" w:name="Tc_UOzBQomj1kKRNai8AAo0pw_8_9"/>
      <w:bookmarkStart w:id="440" w:name="Tc_IK9Ro71KYEiZfIUrsanamA_8_6"/>
      <w:bookmarkStart w:id="441" w:name="Tc_eHkB8d8rPEmSB7Dh6LDSig_8_3"/>
      <w:bookmarkStart w:id="442" w:name="Tc_2z30ktL7n0Gge8l8So33Ig_8_0"/>
      <w:bookmarkStart w:id="443" w:name="Tc_ugzytLXykECh7khSHbh8DA_7_15"/>
      <w:bookmarkStart w:id="444" w:name="Tc_ZueuCWLAfkiq7od2qg79YA_7_12"/>
      <w:bookmarkStart w:id="445" w:name="Tc_MDLbBHQPBkuU6F6t29PcCA_7_6"/>
      <w:bookmarkStart w:id="446" w:name="Tc_uDEZ6KDYx0eaDyzuLKpPLg_7_3"/>
      <w:bookmarkStart w:id="447" w:name="Tc_4tUJF6XU2EOrToakz__qWQ_7_0"/>
      <w:bookmarkStart w:id="448" w:name="Tc_3FgR7uSyRUm0V6xD-BKEEg_6_20"/>
      <w:bookmarkStart w:id="449" w:name="Tc_Rb4R94jU7kOUzgHicTdRMw_6_17"/>
      <w:bookmarkStart w:id="450" w:name="Tc_G1gMnK47mEeRDzG3DBGnMg_6_14"/>
      <w:bookmarkStart w:id="451" w:name="Tc_aPw6GTi-PU2tpQcfWxvu2w_6_11"/>
      <w:bookmarkStart w:id="452" w:name="Tc_UZ398DgYpUiDGzd4aPYPpg_6_8"/>
      <w:bookmarkStart w:id="453" w:name="Tc_NrbrD3uCpk67c82xY2XNWQ_6_5"/>
      <w:bookmarkStart w:id="454" w:name="Tc_4jZvvLbExUuqH0DmpsisDw_6_2"/>
      <w:bookmarkStart w:id="455" w:name="Tc_QdxqgrHwGEqYGKNQ0ItYXA_6_0"/>
      <w:bookmarkStart w:id="456" w:name="Tc_Q_HQLf0Hh0ib5PcMpmR-Iw_5_20"/>
      <w:bookmarkStart w:id="457" w:name="Tc_J3ibEHYoIUKh9tHstwvEwQ_5_17"/>
      <w:bookmarkStart w:id="458" w:name="Tc_0JmOb5iLcEmvefhpUta-Lw_5_14"/>
      <w:bookmarkStart w:id="459" w:name="Tc_UkHeqj6IOE2VRJh0y2fGkw_5_11"/>
      <w:bookmarkStart w:id="460" w:name="Tc_1eb3ioau2k6FGN71zzYjCQ_5_8"/>
      <w:bookmarkStart w:id="461" w:name="Tc_BaRRcATOBUKO2f4B4aPZ5Q_5_5"/>
      <w:bookmarkStart w:id="462" w:name="Tc_eRbA5c67BUWnYt79cVgEdQ_5_2"/>
      <w:bookmarkStart w:id="463" w:name="Tc_46P9PW5ZaUOhwmS8K6waXw_4_17"/>
      <w:bookmarkStart w:id="464" w:name="Tc_d2WVHWHn-kmSqEkKYVj3Ag_4_14"/>
      <w:bookmarkStart w:id="465" w:name="Tc_vFJ7wmqEXEK5kntvK9x1IQ_4_11"/>
      <w:bookmarkStart w:id="466" w:name="Tc_PqZ_QmRc00i9gG4wYf4wZA_4_8"/>
      <w:bookmarkStart w:id="467" w:name="Tc_pV5O5_7OpkeajgbLQU47AA_4_5"/>
      <w:bookmarkStart w:id="468" w:name="Tc_4v2jzuEdYUuR59G404tk-g_4_2"/>
      <w:bookmarkStart w:id="469" w:name="Tc_mPxPbpx4406N4fHKUkaoow_3_17"/>
      <w:bookmarkStart w:id="470" w:name="Tc_6I8IaXvdzkGWhMRAb8R21g_3_11"/>
      <w:bookmarkStart w:id="471" w:name="Tc_jGoFuRw0dkmU_W3cdzTvBA_3_5"/>
      <w:bookmarkStart w:id="472" w:name="Tc_WE8ipPFoOkyOI8wBKo4u6w_2_11"/>
      <w:bookmarkStart w:id="473" w:name="Tc_rOLnwxaCVkmjRvvIesbn6g_1_2"/>
      <w:bookmarkStart w:id="474" w:name="_bc3165fc_fb50_45f9_a3b3_1d98391c5157"/>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tbl>
      <w:tblPr>
        <w:tblW w:w="10205" w:type="dxa"/>
        <w:jc w:val="left"/>
        <w:tblInd w:w="0" w:type="dxa"/>
        <w:tblLayout w:type="fixed"/>
        <w:tblCellMar>
          <w:top w:w="0" w:type="dxa"/>
          <w:left w:w="0" w:type="dxa"/>
          <w:bottom w:w="0" w:type="dxa"/>
          <w:right w:w="0" w:type="dxa"/>
        </w:tblCellMar>
      </w:tblPr>
      <w:tblGrid>
        <w:gridCol w:w="2954"/>
        <w:gridCol w:w="109"/>
        <w:gridCol w:w="298"/>
        <w:gridCol w:w="528"/>
        <w:gridCol w:w="109"/>
        <w:gridCol w:w="258"/>
        <w:gridCol w:w="673"/>
        <w:gridCol w:w="109"/>
        <w:gridCol w:w="220"/>
        <w:gridCol w:w="576"/>
        <w:gridCol w:w="109"/>
        <w:gridCol w:w="317"/>
        <w:gridCol w:w="929"/>
        <w:gridCol w:w="109"/>
        <w:gridCol w:w="234"/>
        <w:gridCol w:w="577"/>
        <w:gridCol w:w="109"/>
        <w:gridCol w:w="258"/>
        <w:gridCol w:w="673"/>
        <w:gridCol w:w="109"/>
        <w:gridCol w:w="196"/>
        <w:gridCol w:w="751"/>
      </w:tblGrid>
      <w:tr>
        <w:trPr/>
        <w:tc>
          <w:tcPr>
            <w:tcW w:w="2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875790" cy="175260"/>
                      <wp:effectExtent l="0" t="0" r="0" b="0"/>
                      <wp:wrapNone/>
                      <wp:docPr id="45" name="Frame45"/>
                      <a:graphic xmlns:a="http://schemas.openxmlformats.org/drawingml/2006/main">
                        <a:graphicData uri="http://schemas.microsoft.com/office/word/2010/wordprocessingShape">
                          <wps:wsp>
                            <wps:cNvSpPr txBox="1"/>
                            <wps:spPr>
                              <a:xfrm>
                                <a:off x="0" y="0"/>
                                <a:ext cx="1875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46"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89230" cy="175260"/>
                      <wp:effectExtent l="0" t="0" r="0" b="0"/>
                      <wp:wrapNone/>
                      <wp:docPr id="47" name="Frame47"/>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35280" cy="175260"/>
                      <wp:effectExtent l="0" t="0" r="0" b="0"/>
                      <wp:wrapNone/>
                      <wp:docPr id="48" name="Frame48"/>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63830" cy="175260"/>
                      <wp:effectExtent l="0" t="0" r="0" b="0"/>
                      <wp:wrapNone/>
                      <wp:docPr id="50" name="Frame50"/>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27355" cy="175260"/>
                      <wp:effectExtent l="0" t="0" r="0" b="0"/>
                      <wp:wrapNone/>
                      <wp:docPr id="51" name="Frame51"/>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2"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9700" cy="175260"/>
                      <wp:effectExtent l="0" t="0" r="0" b="0"/>
                      <wp:wrapNone/>
                      <wp:docPr id="53" name="Frame53"/>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65760" cy="175260"/>
                      <wp:effectExtent l="0" t="0" r="0" b="0"/>
                      <wp:wrapNone/>
                      <wp:docPr id="54" name="Frame54"/>
                      <a:graphic xmlns:a="http://schemas.openxmlformats.org/drawingml/2006/main">
                        <a:graphicData uri="http://schemas.microsoft.com/office/word/2010/wordprocessingShape">
                          <wps:wsp>
                            <wps:cNvSpPr txBox="1"/>
                            <wps:spPr>
                              <a:xfrm>
                                <a:off x="0" y="0"/>
                                <a:ext cx="365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215" cy="175260"/>
                      <wp:effectExtent l="0" t="0" r="0" b="0"/>
                      <wp:wrapNone/>
                      <wp:docPr id="55"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1295" cy="175260"/>
                      <wp:effectExtent l="0" t="0" r="0" b="0"/>
                      <wp:wrapNone/>
                      <wp:docPr id="56" name="Frame5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89915" cy="175260"/>
                      <wp:effectExtent l="0" t="0" r="0" b="0"/>
                      <wp:wrapNone/>
                      <wp:docPr id="57" name="Frame57"/>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48590" cy="175260"/>
                      <wp:effectExtent l="0" t="0" r="0" b="0"/>
                      <wp:wrapNone/>
                      <wp:docPr id="59" name="Frame59"/>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66395" cy="175260"/>
                      <wp:effectExtent l="0" t="0" r="0" b="0"/>
                      <wp:wrapNone/>
                      <wp:docPr id="60" name="Frame60"/>
                      <a:graphic xmlns:a="http://schemas.openxmlformats.org/drawingml/2006/main">
                        <a:graphicData uri="http://schemas.microsoft.com/office/word/2010/wordprocessingShape">
                          <wps:wsp>
                            <wps:cNvSpPr txBox="1"/>
                            <wps:spPr>
                              <a:xfrm>
                                <a:off x="0" y="0"/>
                                <a:ext cx="366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63830" cy="175260"/>
                      <wp:effectExtent l="0" t="0" r="0" b="0"/>
                      <wp:wrapNone/>
                      <wp:docPr id="62" name="Frame62"/>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27355" cy="175260"/>
                      <wp:effectExtent l="0" t="0" r="0" b="0"/>
                      <wp:wrapNone/>
                      <wp:docPr id="63" name="Frame63"/>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76885" cy="175260"/>
                      <wp:effectExtent l="0" t="0" r="0" b="0"/>
                      <wp:wrapNone/>
                      <wp:docPr id="66" name="Frame6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142" w:type="dxa"/>
            <w:gridSpan w:val="2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March 31, 2025 and 2026 (unaudited)</w: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98" w:type="dxa"/>
            <w:tcBorders/>
            <w:vAlign w:val="center"/>
          </w:tcPr>
          <w:p>
            <w:pPr>
              <w:pStyle w:val="TableContents"/>
              <w:bidi w:val="0"/>
              <w:spacing w:before="0" w:after="1"/>
              <w:ind w:left="0" w:right="0" w:hanging="0"/>
              <w:jc w:val="center"/>
              <w:rPr/>
            </w:pPr>
            <w:r>
              <w:rPr/>
              <w:t>​</w:t>
            </w:r>
          </w:p>
        </w:tc>
        <w:tc>
          <w:tcPr>
            <w:tcW w:w="52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58" w:type="dxa"/>
            <w:tcBorders/>
            <w:vAlign w:val="center"/>
          </w:tcPr>
          <w:p>
            <w:pPr>
              <w:pStyle w:val="TableContents"/>
              <w:bidi w:val="0"/>
              <w:spacing w:before="0" w:after="1"/>
              <w:ind w:left="0" w:right="0" w:hanging="0"/>
              <w:jc w:val="center"/>
              <w:rPr/>
            </w:pPr>
            <w:r>
              <w:rPr/>
              <w:t>​</w:t>
            </w:r>
          </w:p>
        </w:tc>
        <w:tc>
          <w:tcPr>
            <w:tcW w:w="67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20" w:type="dxa"/>
            <w:tcBorders/>
            <w:vAlign w:val="center"/>
          </w:tcPr>
          <w:p>
            <w:pPr>
              <w:pStyle w:val="TableContents"/>
              <w:bidi w:val="0"/>
              <w:spacing w:before="0" w:after="1"/>
              <w:ind w:left="0" w:right="0" w:hanging="0"/>
              <w:jc w:val="center"/>
              <w:rPr/>
            </w:pPr>
            <w:r>
              <w:rPr/>
              <w:t>​</w:t>
            </w:r>
          </w:p>
        </w:tc>
        <w:tc>
          <w:tcPr>
            <w:tcW w:w="57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109" w:type="dxa"/>
            <w:tcBorders/>
            <w:vAlign w:val="center"/>
          </w:tcPr>
          <w:p>
            <w:pPr>
              <w:pStyle w:val="TableContents"/>
              <w:bidi w:val="0"/>
              <w:spacing w:before="0" w:after="1"/>
              <w:ind w:left="0" w:right="0" w:hanging="0"/>
              <w:jc w:val="center"/>
              <w:rPr/>
            </w:pPr>
            <w:r>
              <w:rPr/>
              <w:t>​</w:t>
            </w:r>
          </w:p>
        </w:tc>
        <w:tc>
          <w:tcPr>
            <w:tcW w:w="234" w:type="dxa"/>
            <w:tcBorders/>
            <w:vAlign w:val="center"/>
          </w:tcPr>
          <w:p>
            <w:pPr>
              <w:pStyle w:val="TableContents"/>
              <w:bidi w:val="0"/>
              <w:spacing w:before="0" w:after="1"/>
              <w:ind w:left="0" w:right="0" w:hanging="0"/>
              <w:jc w:val="center"/>
              <w:rPr/>
            </w:pPr>
            <w:r>
              <w:rPr/>
              <w:t>​</w:t>
            </w:r>
          </w:p>
        </w:tc>
        <w:tc>
          <w:tcPr>
            <w:tcW w:w="5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58" w:type="dxa"/>
            <w:tcBorders/>
            <w:vAlign w:val="center"/>
          </w:tcPr>
          <w:p>
            <w:pPr>
              <w:pStyle w:val="TableContents"/>
              <w:bidi w:val="0"/>
              <w:spacing w:before="0" w:after="1"/>
              <w:ind w:left="0" w:right="0" w:hanging="0"/>
              <w:jc w:val="center"/>
              <w:rPr/>
            </w:pPr>
            <w:r>
              <w:rPr/>
              <w:t>​</w:t>
            </w:r>
          </w:p>
        </w:tc>
        <w:tc>
          <w:tcPr>
            <w:tcW w:w="67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center"/>
              <w:rPr/>
            </w:pPr>
            <w:r>
              <w:rPr/>
              <w:t>​</w:t>
            </w:r>
          </w:p>
        </w:tc>
        <w:tc>
          <w:tcPr>
            <w:tcW w:w="52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Additional</w:t>
            </w:r>
          </w:p>
        </w:tc>
        <w:tc>
          <w:tcPr>
            <w:tcW w:w="109" w:type="dxa"/>
            <w:tcBorders/>
            <w:vAlign w:val="center"/>
          </w:tcPr>
          <w:p>
            <w:pPr>
              <w:pStyle w:val="TableContents"/>
              <w:bidi w:val="0"/>
              <w:spacing w:before="0" w:after="1"/>
              <w:ind w:left="0" w:right="0" w:hanging="0"/>
              <w:jc w:val="center"/>
              <w:rPr/>
            </w:pPr>
            <w:r>
              <w:rPr/>
              <w:t>​</w:t>
            </w:r>
          </w:p>
        </w:tc>
        <w:tc>
          <w:tcPr>
            <w:tcW w:w="220" w:type="dxa"/>
            <w:tcBorders/>
            <w:vAlign w:val="center"/>
          </w:tcPr>
          <w:p>
            <w:pPr>
              <w:pStyle w:val="TableContents"/>
              <w:bidi w:val="0"/>
              <w:spacing w:before="0" w:after="1"/>
              <w:ind w:left="0" w:right="0" w:hanging="0"/>
              <w:jc w:val="center"/>
              <w:rPr/>
            </w:pPr>
            <w:r>
              <w:rPr/>
              <w:t>​</w:t>
            </w:r>
          </w:p>
        </w:tc>
        <w:tc>
          <w:tcPr>
            <w:tcW w:w="57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109" w:type="dxa"/>
            <w:tcBorders/>
            <w:vAlign w:val="center"/>
          </w:tcPr>
          <w:p>
            <w:pPr>
              <w:pStyle w:val="TableContents"/>
              <w:bidi w:val="0"/>
              <w:spacing w:before="0" w:after="1"/>
              <w:ind w:left="0" w:right="0" w:hanging="0"/>
              <w:jc w:val="center"/>
              <w:rPr/>
            </w:pPr>
            <w:r>
              <w:rPr/>
              <w:t>​</w:t>
            </w:r>
          </w:p>
        </w:tc>
        <w:tc>
          <w:tcPr>
            <w:tcW w:w="234" w:type="dxa"/>
            <w:tcBorders/>
            <w:vAlign w:val="center"/>
          </w:tcPr>
          <w:p>
            <w:pPr>
              <w:pStyle w:val="TableContents"/>
              <w:bidi w:val="0"/>
              <w:spacing w:before="0" w:after="1"/>
              <w:ind w:left="0" w:right="0" w:hanging="0"/>
              <w:jc w:val="center"/>
              <w:rPr/>
            </w:pPr>
            <w:r>
              <w:rPr/>
              <w:t>​</w:t>
            </w:r>
          </w:p>
        </w:tc>
        <w:tc>
          <w:tcPr>
            <w:tcW w:w="5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Non-</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Common</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paid-in</w:t>
            </w:r>
          </w:p>
        </w:tc>
        <w:tc>
          <w:tcPr>
            <w:tcW w:w="109"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Retained</w:t>
            </w:r>
          </w:p>
        </w:tc>
        <w:tc>
          <w:tcPr>
            <w:tcW w:w="109"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comprehensive</w:t>
            </w:r>
          </w:p>
        </w:tc>
        <w:tc>
          <w:tcPr>
            <w:tcW w:w="109" w:type="dxa"/>
            <w:tcBorders/>
            <w:vAlign w:val="center"/>
          </w:tcPr>
          <w:p>
            <w:pPr>
              <w:pStyle w:val="TableContents"/>
              <w:bidi w:val="0"/>
              <w:spacing w:before="0" w:after="1"/>
              <w:ind w:left="0" w:right="0" w:hanging="0"/>
              <w:jc w:val="center"/>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Treasury</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controlling</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capital</w:t>
            </w:r>
          </w:p>
        </w:tc>
        <w:tc>
          <w:tcPr>
            <w:tcW w:w="109" w:type="dxa"/>
            <w:tcBorders/>
            <w:vAlign w:val="center"/>
          </w:tcPr>
          <w:p>
            <w:pPr>
              <w:pStyle w:val="TableContents"/>
              <w:bidi w:val="0"/>
              <w:spacing w:before="0" w:after="1"/>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earnings</w:t>
            </w:r>
          </w:p>
        </w:tc>
        <w:tc>
          <w:tcPr>
            <w:tcW w:w="109" w:type="dxa"/>
            <w:tcBorders/>
            <w:vAlign w:val="center"/>
          </w:tcPr>
          <w:p>
            <w:pPr>
              <w:pStyle w:val="TableContents"/>
              <w:bidi w:val="0"/>
              <w:spacing w:before="0" w:after="1"/>
              <w:ind w:left="0" w:right="0" w:hanging="0"/>
              <w:jc w:val="center"/>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loss</w:t>
            </w:r>
          </w:p>
        </w:tc>
        <w:tc>
          <w:tcPr>
            <w:tcW w:w="109" w:type="dxa"/>
            <w:tcBorders/>
            <w:vAlign w:val="center"/>
          </w:tcPr>
          <w:p>
            <w:pPr>
              <w:pStyle w:val="TableContents"/>
              <w:bidi w:val="0"/>
              <w:spacing w:before="0" w:after="1"/>
              <w:ind w:left="0" w:right="0" w:hanging="0"/>
              <w:jc w:val="center"/>
              <w:rPr/>
            </w:pPr>
            <w:r>
              <w:rPr/>
              <w:t>​</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interest</w:t>
            </w:r>
          </w:p>
        </w:tc>
        <w:tc>
          <w:tcPr>
            <w:tcW w:w="109"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at December 31, 2024</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669.9</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574.7</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(159.2)</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1,379.1</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5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5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net</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 </w:t>
            </w:r>
          </w:p>
        </w:tc>
        <w:tc>
          <w:tcPr>
            <w:tcW w:w="5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5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5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Dividends paid to noncontrolling interest</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5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5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dividends - $.08 per share</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w: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5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c>
          <w:tcPr>
            <w:tcW w:w="9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5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at March 31, 2025</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669.9</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589.3</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(147.4)</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1,413.3</w: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5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c>
          <w:tcPr>
            <w:tcW w:w="9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5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at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670.3</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508.0</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(105.8)</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1,363.7</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576"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2.0</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5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7.8</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net</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 </w:t>
            </w:r>
          </w:p>
        </w:tc>
        <w:tc>
          <w:tcPr>
            <w:tcW w:w="5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5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2.9</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5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3.9</w:t>
            </w:r>
          </w:p>
        </w:tc>
      </w:tr>
      <w:tr>
        <w:trPr/>
        <w:tc>
          <w:tcPr>
            <w:tcW w:w="29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Dividends paid to noncontrolling interest</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5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5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(2.4)</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dividends - $.08 per share</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(2.3)</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(2.3)</w:t>
            </w:r>
          </w:p>
        </w:tc>
      </w:tr>
      <w:tr>
        <w:trPr/>
        <w:tc>
          <w:tcPr>
            <w:tcW w:w="295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5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c>
          <w:tcPr>
            <w:tcW w:w="9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5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r>
      <w:tr>
        <w:trPr/>
        <w:tc>
          <w:tcPr>
            <w:tcW w:w="295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at March 31, 2026</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670.3</w:t>
            </w:r>
          </w:p>
        </w:tc>
        <w:tc>
          <w:tcPr>
            <w:tcW w:w="109"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507.7</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(102.9)</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5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(49.6)</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6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344.9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1,370.7</w:t>
            </w:r>
          </w:p>
        </w:tc>
      </w:tr>
    </w:tbl>
    <w:p>
      <w:pPr>
        <w:pStyle w:val="TextBody"/>
        <w:bidi w:val="0"/>
        <w:spacing w:before="0" w:after="240"/>
        <w:ind w:left="0" w:right="0" w:firstLine="720"/>
        <w:jc w:val="center"/>
        <w:rPr/>
      </w:pPr>
      <w:r>
        <w:rPr/>
        <w:t>​</w:t>
      </w:r>
    </w:p>
    <w:p>
      <w:pPr>
        <w:pStyle w:val="TextBody"/>
        <w:bidi w:val="0"/>
        <w:spacing w:before="24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68">
                <wp:simplePos x="0" y="0"/>
                <wp:positionH relativeFrom="page">
                  <wp:posOffset>0</wp:posOffset>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60"/>
        <w:ind w:left="0" w:right="0" w:hanging="0"/>
        <w:jc w:val="center"/>
        <w:rPr>
          <w:rFonts w:ascii="Times New Roman;Times;serif" w:hAnsi="Times New Roman;Times;serif"/>
          <w:b/>
          <w:sz w:val="20"/>
        </w:rPr>
      </w:pPr>
      <w:bookmarkStart w:id="475" w:name="_b99f54f6_debd_43fd_8f6b_9663747dc2d1"/>
      <w:bookmarkEnd w:id="475"/>
      <w:r>
        <w:rPr>
          <w:rFonts w:ascii="Times New Roman;Times;serif" w:hAnsi="Times New Roman;Times;serif"/>
          <w:b/>
          <w:sz w:val="20"/>
        </w:rPr>
        <w:t>VALHI, INC. AND SUBSIDIARIES</w:t>
      </w:r>
    </w:p>
    <w:p>
      <w:pPr>
        <w:pStyle w:val="TextBody"/>
        <w:bidi w:val="0"/>
        <w:spacing w:before="0" w:after="60"/>
        <w:ind w:left="0" w:right="0" w:hanging="0"/>
        <w:jc w:val="center"/>
        <w:rPr>
          <w:rFonts w:ascii="Times New Roman;Times;serif" w:hAnsi="Times New Roman;Times;serif"/>
          <w:b/>
          <w:sz w:val="20"/>
        </w:rPr>
      </w:pPr>
      <w:bookmarkStart w:id="476" w:name="CONDENSEDCONSOLIDATEDCASHFLOWS"/>
      <w:bookmarkEnd w:id="476"/>
      <w:r>
        <w:rPr>
          <w:rFonts w:ascii="Times New Roman;Times;serif" w:hAnsi="Times New Roman;Times;serif"/>
          <w:b/>
          <w:sz w:val="20"/>
        </w:rPr>
        <w:t>CONDENSED CONSOLIDATED STATEMENTS OF CASH FLOWS</w:t>
      </w:r>
    </w:p>
    <w:p>
      <w:pPr>
        <w:pStyle w:val="TextBody"/>
        <w:bidi w:val="0"/>
        <w:spacing w:lineRule="auto" w:line="199" w:before="0" w:after="120"/>
        <w:ind w:left="0" w:right="0" w:hanging="0"/>
        <w:jc w:val="center"/>
        <w:rPr>
          <w:rFonts w:ascii="Times New Roman;Times;serif" w:hAnsi="Times New Roman;Times;serif"/>
          <w:b/>
          <w:sz w:val="20"/>
        </w:rPr>
      </w:pPr>
      <w:r>
        <w:rPr>
          <w:rFonts w:ascii="Times New Roman;Times;serif" w:hAnsi="Times New Roman;Times;serif"/>
          <w:b/>
          <w:sz w:val="20"/>
        </w:rPr>
        <w:t>(In millions)</w:t>
      </w:r>
    </w:p>
    <w:p>
      <w:pPr>
        <w:pStyle w:val="Normal"/>
        <w:bidi w:val="0"/>
        <w:spacing w:before="0" w:after="0"/>
        <w:jc w:val="left"/>
        <w:rPr>
          <w:sz w:val="4"/>
          <w:szCs w:val="4"/>
        </w:rPr>
      </w:pPr>
      <w:r>
        <w:rPr>
          <w:sz w:val="4"/>
          <w:szCs w:val="4"/>
        </w:rPr>
      </w:r>
      <w:bookmarkStart w:id="477" w:name="Tc_iAUZJKGwKkKkXK860CZ3Vw_47_0"/>
      <w:bookmarkStart w:id="478" w:name="Tc_9iDTpQjhPE-3bNJF0sk60A_46_0"/>
      <w:bookmarkStart w:id="479" w:name="Tc_7GUlqhTfMEyuLgX5tqgycw_45_0"/>
      <w:bookmarkStart w:id="480" w:name="Tc_0jtYvYFvHEKPsaep6jKZVg_44_5"/>
      <w:bookmarkStart w:id="481" w:name="Tc_sl-dfwfbVUiZwQH6UOcZ9g_44_2"/>
      <w:bookmarkStart w:id="482" w:name="Tc_MVI6zibIF0aWKVwXHt1PFg_44_0"/>
      <w:bookmarkStart w:id="483" w:name="Tc_qKIVwugyqUCRMqRZ8sK1oQ_43_0"/>
      <w:bookmarkStart w:id="484" w:name="Tc_c6n-r81EPUmZSGVkWTkgcg_42_0"/>
      <w:bookmarkStart w:id="485" w:name="Tc_3bewUIpJ6EOpask_HHUiIw_40_5"/>
      <w:bookmarkStart w:id="486" w:name="Tc_KD49Ui_0W06NtFVh4QQagA_40_2"/>
      <w:bookmarkStart w:id="487" w:name="Tc_DPrniF8OGU-_a5pTAPbLZA_40_0"/>
      <w:bookmarkStart w:id="488" w:name="Tc_1UQapD4820eEV2APYsxPxg_39_0"/>
      <w:bookmarkStart w:id="489" w:name="Tc_VLP1e9th5kedHG_rBhxZkQ_38_0"/>
      <w:bookmarkStart w:id="490" w:name="Tc_dVMxHLc7S0mBrZkHHQjhBw_37_0"/>
      <w:bookmarkStart w:id="491" w:name="Tc_rX8G_WvncE6GtRBg1Pc9yg_36_0"/>
      <w:bookmarkStart w:id="492" w:name="Tc_D6u5SHQaYkqKOZ-DRE5c5w_34_0"/>
      <w:bookmarkStart w:id="493" w:name="Tc_0T48HpGgXESpuiKaFhYC4Q_33_0"/>
      <w:bookmarkStart w:id="494" w:name="Tc_6qcsrc23YEC5D0DbbyMIxA_32_0"/>
      <w:bookmarkStart w:id="495" w:name="Tc_wxXj2bAEk0W1bum1EfqnFw_31_0"/>
      <w:bookmarkStart w:id="496" w:name="Tc_9LR7q78T806fTl6VRxQbIQ_30_0"/>
      <w:bookmarkStart w:id="497" w:name="Tc_BIPEMnCoS0uvTqnTzkuNyg_29_0"/>
      <w:bookmarkStart w:id="498" w:name="Tc_mwC-4KO65E6aCi1p46D9YQ_28_0"/>
      <w:bookmarkStart w:id="499" w:name="Tc_J904i9LWMESdkNm3XhCkPA_27_0"/>
      <w:bookmarkStart w:id="500" w:name="Tc_LcaqmbVQUUO6655FJ6V84w_25_0"/>
      <w:bookmarkStart w:id="501" w:name="Tc_Pjt9tsQn0EGlnLnr7I-liw_24_0"/>
      <w:bookmarkStart w:id="502" w:name="Tc_g8oLqVqntkWZJ1HO0vgtUQ_23_0"/>
      <w:bookmarkStart w:id="503" w:name="Tc_7BJkm49e-0CcLwoXCjNZ7g_22_0"/>
      <w:bookmarkStart w:id="504" w:name="Tc_wIY8KC0o10uLgfEBlkISOA_20_0"/>
      <w:bookmarkStart w:id="505" w:name="Tc_dUqcJHuNrUSYVzsXRXOYDA_19_0"/>
      <w:bookmarkStart w:id="506" w:name="Tc_ab2Ir4g3v025UoNsAoHUyA_18_0"/>
      <w:bookmarkStart w:id="507" w:name="Tc_rkSgffhUJEe4h62PM8XLHw_17_0"/>
      <w:bookmarkStart w:id="508" w:name="Tc_VaGRAVJdckasNLhqWIZoIQ_16_0"/>
      <w:bookmarkStart w:id="509" w:name="Tc_Ipu7Uv97wUuKUgu2iMjUxA_15_0"/>
      <w:bookmarkStart w:id="510" w:name="Tc_y1wQYM_fMka0e-fD7Qywtw_14_0"/>
      <w:bookmarkStart w:id="511" w:name="Tc_97fBCEw3ykeZNnOMTwq9hA_13_0"/>
      <w:bookmarkStart w:id="512" w:name="Tc_-8cs5GoQsk6ei2dMcBOiew_12_0"/>
      <w:bookmarkStart w:id="513" w:name="Tc_1T9uLKt07EKNb4JoP74uGw_11_0"/>
      <w:bookmarkStart w:id="514" w:name="Tc_4X8nAjeMC0qlePY-xZmxBg_10_0"/>
      <w:bookmarkStart w:id="515" w:name="Tc_SVqCh-blFUaXYLL62j4NfQ_9_0"/>
      <w:bookmarkStart w:id="516" w:name="Tc_G92b-06hg02iAPRHcToFSg_8_0"/>
      <w:bookmarkStart w:id="517" w:name="Tc_tJAaTsSlgEuH_Mgps9ZmRA_7_0"/>
      <w:bookmarkStart w:id="518" w:name="Tc_Jdp6IDv-kE-02wYyv0LV4g_6_5"/>
      <w:bookmarkStart w:id="519" w:name="Tc_HEG89Cs5ikeVrT_1Fw-inQ_6_2"/>
      <w:bookmarkStart w:id="520" w:name="Tc_uJPRnzNOxEqLhP_ycR7Piw_6_0"/>
      <w:bookmarkStart w:id="521" w:name="Tc_0N9_ZOCfakmQpDmb9ZvRwA_5_0"/>
      <w:bookmarkStart w:id="522" w:name="Tc_9EibUhWOCkO0-IJJApNVKw_4_2"/>
      <w:bookmarkStart w:id="523" w:name="Tc_2eUowuEjl0qNGt43PHCeaA_3_5"/>
      <w:bookmarkStart w:id="524" w:name="Tc_UE0SRzO08UOwEtKx-kl6AQ_3_2"/>
      <w:bookmarkStart w:id="525" w:name="Tc_bACjXbUc2kixM7qVt77iow_2_2"/>
      <w:bookmarkStart w:id="526" w:name="Tc_p-SHkKX4mECmvttK1sFnlQ_1_2"/>
      <w:bookmarkStart w:id="527" w:name="_85641611_35fc_46b7_a10f_928061d1cf4f"/>
      <w:bookmarkStart w:id="528" w:name="Tc_iAUZJKGwKkKkXK860CZ3Vw_47_0"/>
      <w:bookmarkStart w:id="529" w:name="Tc_9iDTpQjhPE-3bNJF0sk60A_46_0"/>
      <w:bookmarkStart w:id="530" w:name="Tc_7GUlqhTfMEyuLgX5tqgycw_45_0"/>
      <w:bookmarkStart w:id="531" w:name="Tc_0jtYvYFvHEKPsaep6jKZVg_44_5"/>
      <w:bookmarkStart w:id="532" w:name="Tc_sl-dfwfbVUiZwQH6UOcZ9g_44_2"/>
      <w:bookmarkStart w:id="533" w:name="Tc_MVI6zibIF0aWKVwXHt1PFg_44_0"/>
      <w:bookmarkStart w:id="534" w:name="Tc_qKIVwugyqUCRMqRZ8sK1oQ_43_0"/>
      <w:bookmarkStart w:id="535" w:name="Tc_c6n-r81EPUmZSGVkWTkgcg_42_0"/>
      <w:bookmarkStart w:id="536" w:name="Tc_3bewUIpJ6EOpask_HHUiIw_40_5"/>
      <w:bookmarkStart w:id="537" w:name="Tc_KD49Ui_0W06NtFVh4QQagA_40_2"/>
      <w:bookmarkStart w:id="538" w:name="Tc_DPrniF8OGU-_a5pTAPbLZA_40_0"/>
      <w:bookmarkStart w:id="539" w:name="Tc_1UQapD4820eEV2APYsxPxg_39_0"/>
      <w:bookmarkStart w:id="540" w:name="Tc_VLP1e9th5kedHG_rBhxZkQ_38_0"/>
      <w:bookmarkStart w:id="541" w:name="Tc_dVMxHLc7S0mBrZkHHQjhBw_37_0"/>
      <w:bookmarkStart w:id="542" w:name="Tc_rX8G_WvncE6GtRBg1Pc9yg_36_0"/>
      <w:bookmarkStart w:id="543" w:name="Tc_D6u5SHQaYkqKOZ-DRE5c5w_34_0"/>
      <w:bookmarkStart w:id="544" w:name="Tc_0T48HpGgXESpuiKaFhYC4Q_33_0"/>
      <w:bookmarkStart w:id="545" w:name="Tc_6qcsrc23YEC5D0DbbyMIxA_32_0"/>
      <w:bookmarkStart w:id="546" w:name="Tc_wxXj2bAEk0W1bum1EfqnFw_31_0"/>
      <w:bookmarkStart w:id="547" w:name="Tc_9LR7q78T806fTl6VRxQbIQ_30_0"/>
      <w:bookmarkStart w:id="548" w:name="Tc_BIPEMnCoS0uvTqnTzkuNyg_29_0"/>
      <w:bookmarkStart w:id="549" w:name="Tc_mwC-4KO65E6aCi1p46D9YQ_28_0"/>
      <w:bookmarkStart w:id="550" w:name="Tc_J904i9LWMESdkNm3XhCkPA_27_0"/>
      <w:bookmarkStart w:id="551" w:name="Tc_LcaqmbVQUUO6655FJ6V84w_25_0"/>
      <w:bookmarkStart w:id="552" w:name="Tc_Pjt9tsQn0EGlnLnr7I-liw_24_0"/>
      <w:bookmarkStart w:id="553" w:name="Tc_g8oLqVqntkWZJ1HO0vgtUQ_23_0"/>
      <w:bookmarkStart w:id="554" w:name="Tc_7BJkm49e-0CcLwoXCjNZ7g_22_0"/>
      <w:bookmarkStart w:id="555" w:name="Tc_wIY8KC0o10uLgfEBlkISOA_20_0"/>
      <w:bookmarkStart w:id="556" w:name="Tc_dUqcJHuNrUSYVzsXRXOYDA_19_0"/>
      <w:bookmarkStart w:id="557" w:name="Tc_ab2Ir4g3v025UoNsAoHUyA_18_0"/>
      <w:bookmarkStart w:id="558" w:name="Tc_rkSgffhUJEe4h62PM8XLHw_17_0"/>
      <w:bookmarkStart w:id="559" w:name="Tc_VaGRAVJdckasNLhqWIZoIQ_16_0"/>
      <w:bookmarkStart w:id="560" w:name="Tc_Ipu7Uv97wUuKUgu2iMjUxA_15_0"/>
      <w:bookmarkStart w:id="561" w:name="Tc_y1wQYM_fMka0e-fD7Qywtw_14_0"/>
      <w:bookmarkStart w:id="562" w:name="Tc_97fBCEw3ykeZNnOMTwq9hA_13_0"/>
      <w:bookmarkStart w:id="563" w:name="Tc_-8cs5GoQsk6ei2dMcBOiew_12_0"/>
      <w:bookmarkStart w:id="564" w:name="Tc_1T9uLKt07EKNb4JoP74uGw_11_0"/>
      <w:bookmarkStart w:id="565" w:name="Tc_4X8nAjeMC0qlePY-xZmxBg_10_0"/>
      <w:bookmarkStart w:id="566" w:name="Tc_SVqCh-blFUaXYLL62j4NfQ_9_0"/>
      <w:bookmarkStart w:id="567" w:name="Tc_G92b-06hg02iAPRHcToFSg_8_0"/>
      <w:bookmarkStart w:id="568" w:name="Tc_tJAaTsSlgEuH_Mgps9ZmRA_7_0"/>
      <w:bookmarkStart w:id="569" w:name="Tc_Jdp6IDv-kE-02wYyv0LV4g_6_5"/>
      <w:bookmarkStart w:id="570" w:name="Tc_HEG89Cs5ikeVrT_1Fw-inQ_6_2"/>
      <w:bookmarkStart w:id="571" w:name="Tc_uJPRnzNOxEqLhP_ycR7Piw_6_0"/>
      <w:bookmarkStart w:id="572" w:name="Tc_0N9_ZOCfakmQpDmb9ZvRwA_5_0"/>
      <w:bookmarkStart w:id="573" w:name="Tc_9EibUhWOCkO0-IJJApNVKw_4_2"/>
      <w:bookmarkStart w:id="574" w:name="Tc_2eUowuEjl0qNGt43PHCeaA_3_5"/>
      <w:bookmarkStart w:id="575" w:name="Tc_UE0SRzO08UOwEtKx-kl6AQ_3_2"/>
      <w:bookmarkStart w:id="576" w:name="Tc_bACjXbUc2kixM7qVt77iow_2_2"/>
      <w:bookmarkStart w:id="577" w:name="Tc_p-SHkKX4mECmvttK1sFnlQ_1_2"/>
      <w:bookmarkStart w:id="578" w:name="_85641611_35fc_46b7_a10f_928061d1cf4f"/>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tbl>
      <w:tblPr>
        <w:tblW w:w="9307" w:type="dxa"/>
        <w:jc w:val="left"/>
        <w:tblInd w:w="0" w:type="dxa"/>
        <w:tblLayout w:type="fixed"/>
        <w:tblCellMar>
          <w:top w:w="0" w:type="dxa"/>
          <w:left w:w="0" w:type="dxa"/>
          <w:bottom w:w="0" w:type="dxa"/>
          <w:right w:w="0" w:type="dxa"/>
        </w:tblCellMar>
      </w:tblPr>
      <w:tblGrid>
        <w:gridCol w:w="6766"/>
        <w:gridCol w:w="346"/>
        <w:gridCol w:w="211"/>
        <w:gridCol w:w="691"/>
        <w:gridCol w:w="346"/>
        <w:gridCol w:w="211"/>
        <w:gridCol w:w="736"/>
      </w:tblGrid>
      <w:tr>
        <w:trPr/>
        <w:tc>
          <w:tcPr>
            <w:tcW w:w="6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296410" cy="175260"/>
                      <wp:effectExtent l="0" t="0" r="0" b="0"/>
                      <wp:wrapNone/>
                      <wp:docPr id="68" name="Frame68"/>
                      <a:graphic xmlns:a="http://schemas.openxmlformats.org/drawingml/2006/main">
                        <a:graphicData uri="http://schemas.microsoft.com/office/word/2010/wordprocessingShape">
                          <wps:wsp>
                            <wps:cNvSpPr txBox="1"/>
                            <wps:spPr>
                              <a:xfrm>
                                <a:off x="0" y="0"/>
                                <a:ext cx="429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38785" cy="175260"/>
                      <wp:effectExtent l="0" t="0" r="0" b="0"/>
                      <wp:wrapNone/>
                      <wp:docPr id="71" name="Frame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67360" cy="175260"/>
                      <wp:effectExtent l="0" t="0" r="0" b="0"/>
                      <wp:wrapNone/>
                      <wp:docPr id="74" name="Frame7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6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6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930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plan expense (less) greater than cash funding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other receivables,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(100.9)</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72.7</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held for development,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(66.6)</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environmental remediation and related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with affiliates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(46.1)</w:t>
            </w:r>
          </w:p>
        </w:tc>
      </w:tr>
      <w:tr>
        <w:trPr/>
        <w:tc>
          <w:tcPr>
            <w:tcW w:w="6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  ​</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disposal of marketable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w:t>
            </w:r>
          </w:p>
        </w:tc>
      </w:tr>
      <w:tr>
        <w:trPr/>
        <w:tc>
          <w:tcPr>
            <w:tcW w:w="6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Kronos revolving credit facility: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158.1</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(99.2)</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on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Valhi cash dividends paid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noncontrolling interest in subsidiaries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42.5</w:t>
            </w:r>
          </w:p>
        </w:tc>
      </w:tr>
      <w:tr>
        <w:trPr/>
        <w:tc>
          <w:tcPr>
            <w:tcW w:w="6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and cash equivalents - net change from: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(13.1)</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rates on 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228.7</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215.1</w:t>
            </w:r>
          </w:p>
        </w:tc>
      </w:tr>
      <w:tr>
        <w:trPr/>
        <w:tc>
          <w:tcPr>
            <w:tcW w:w="6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net of amounts capitalized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27.0</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accruals for 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2.0</w:t>
            </w:r>
          </w:p>
        </w:tc>
      </w:tr>
    </w:tbl>
    <w:p>
      <w:pPr>
        <w:pStyle w:val="TextBody"/>
        <w:bidi w:val="0"/>
        <w:spacing w:lineRule="auto" w:line="228" w:before="0" w:after="0"/>
        <w:ind w:left="0" w:right="0" w:hanging="0"/>
        <w:jc w:val="left"/>
        <w:rPr/>
      </w:pPr>
      <w:r>
        <w:rPr/>
        <w:t>​</w:t>
      </w:r>
    </w:p>
    <w:p>
      <w:pPr>
        <w:pStyle w:val="TextBody"/>
        <w:bidi w:val="0"/>
        <w:spacing w:lineRule="auto" w:line="228"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lineRule="auto" w:line="199" w:before="0" w:after="240"/>
        <w:ind w:left="0" w:right="0" w:hanging="0"/>
        <w:jc w:val="left"/>
        <w:rPr/>
      </w:pPr>
      <w:r>
        <w:rPr/>
        <w:t>​</w:t>
      </w:r>
    </w:p>
    <w:p>
      <w:pPr>
        <w:pStyle w:val="TextBody"/>
        <w:bidi w:val="0"/>
        <w:spacing w:lineRule="auto" w:line="199" w:before="0" w:after="6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lineRule="auto" w:line="199"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76">
                <wp:simplePos x="0" y="0"/>
                <wp:positionH relativeFrom="page">
                  <wp:posOffset>0</wp:posOffset>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120"/>
        <w:ind w:left="0" w:right="0" w:hanging="0"/>
        <w:jc w:val="center"/>
        <w:rPr>
          <w:rFonts w:ascii="Times New Roman;Times;serif" w:hAnsi="Times New Roman;Times;serif"/>
          <w:b/>
          <w:sz w:val="20"/>
        </w:rPr>
      </w:pPr>
      <w:bookmarkStart w:id="579" w:name="_b1c4124f_8103_4ea7_9632_f424ddbd2046"/>
      <w:bookmarkEnd w:id="579"/>
      <w:r>
        <w:rPr>
          <w:rFonts w:ascii="Times New Roman;Times;serif" w:hAnsi="Times New Roman;Times;serif"/>
          <w:b/>
          <w:sz w:val="20"/>
        </w:rPr>
        <w:t>VALHI, INC. AND SUBSIDIARIES</w:t>
      </w:r>
    </w:p>
    <w:p>
      <w:pPr>
        <w:pStyle w:val="TextBody"/>
        <w:bidi w:val="0"/>
        <w:spacing w:before="0" w:after="120"/>
        <w:ind w:left="0" w:right="0" w:hanging="0"/>
        <w:jc w:val="center"/>
        <w:rPr>
          <w:rFonts w:ascii="Times New Roman;Times;serif" w:hAnsi="Times New Roman;Times;serif"/>
          <w:b/>
          <w:sz w:val="20"/>
        </w:rPr>
      </w:pPr>
      <w:bookmarkStart w:id="580" w:name="NOTESTOCONDENSEDCONSOLIDATEDFINSTMTS"/>
      <w:bookmarkEnd w:id="580"/>
      <w:r>
        <w:rPr>
          <w:rFonts w:ascii="Times New Roman;Times;serif" w:hAnsi="Times New Roman;Times;serif"/>
          <w:b/>
          <w:sz w:val="20"/>
        </w:rPr>
        <w:t>NOTES TO CONDENSED CONSOLIDATED 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Organization and basis of presentation:</w:t>
      </w:r>
    </w:p>
    <w:p>
      <w:pPr>
        <w:pStyle w:val="TextBody"/>
        <w:bidi w:val="0"/>
        <w:spacing w:before="0" w:after="240"/>
        <w:ind w:left="0" w:right="0" w:firstLine="720"/>
        <w:jc w:val="both"/>
        <w:rPr>
          <w:rFonts w:ascii="Times New Roman;Times;serif" w:hAnsi="Times New Roman;Times;serif"/>
          <w:sz w:val="21"/>
        </w:rPr>
      </w:pPr>
      <w:r>
        <w:rPr>
          <w:rFonts w:ascii="Times New Roman;Times;serif" w:hAnsi="Times New Roman;Times;serif"/>
          <w:i/>
          <w:sz w:val="20"/>
        </w:rPr>
        <w:t>Organization </w:t>
      </w:r>
      <w:r>
        <w:rPr>
          <w:rFonts w:ascii="Times New Roman;Times;serif" w:hAnsi="Times New Roman;Times;serif"/>
          <w:sz w:val="21"/>
        </w:rPr>
        <w:t xml:space="preserve">– </w:t>
      </w:r>
      <w:r>
        <w:rPr>
          <w:rFonts w:ascii="Times New Roman;Times;serif" w:hAnsi="Times New Roman;Times;serif"/>
          <w:sz w:val="20"/>
        </w:rPr>
        <w:t>We are majority owned by a wholly-owned subsidiary of Contran Corporation (“Contran”), which owns approximately 91%</w:t>
      </w:r>
      <w:r>
        <w:rPr>
          <w:rFonts w:ascii="Times New Roman;Times;serif" w:hAnsi="Times New Roman;Times;serif"/>
          <w:sz w:val="21"/>
        </w:rPr>
        <w:t xml:space="preserve"> </w:t>
      </w:r>
      <w:r>
        <w:rPr>
          <w:rFonts w:ascii="Times New Roman;Times;serif" w:hAnsi="Times New Roman;Times;serif"/>
          <w:sz w:val="20"/>
        </w:rPr>
        <w:t xml:space="preserve">of our outstanding common stock at March 31, 2026. </w:t>
      </w:r>
      <w:r>
        <w:rPr>
          <w:rFonts w:ascii="Times New Roman;Times;serif" w:hAnsi="Times New Roman;Times;serif"/>
          <w:color w:val="212529"/>
          <w:sz w:val="21"/>
        </w:rPr>
        <w:t>A majority of Contran’s outstanding voting stock is held directly by Lisa K. Simmons and by family stockholders (Thomas C. Connelly (the husband of Ms. Simmons’ late sister), a family-owned entity and various family trusts established for the benefit of Ms. Simmons, Mr. Connelly and their children) who are required to vote their shares of Contran voting stock in the same manner as Ms. Simmons. Such voting rights are personal to Ms. Simmons and last through April 22, 2030. The remainder of Contran’s outstanding voting stock is held by another trust (the “Family Trust”), which was established for the benefit of Ms. Simmons and her late sister and their children and for which a third-party financial institution serves as trustee. Consequently, at March 31, 2026, Ms. Simmons and the Family Trust may be deemed to control Contran and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Basis of Presentation – </w:t>
      </w:r>
      <w:r>
        <w:rPr>
          <w:rFonts w:ascii="Times New Roman;Times;serif" w:hAnsi="Times New Roman;Times;serif"/>
          <w:sz w:val="20"/>
        </w:rPr>
        <w:t>Consolidated in this Quarterly Report are the results of our wholly-owned and majority-owned subsidiaries, including NL Industries, Inc., Kronos Worldwide, Inc., CompX International Inc., Tremont LLC, Basic Management, Inc. (“BMI”) and The LandWell Company (“LandWell”). Kronos (NYSE: KRO), NL (NYSE: NL) and CompX (NYSE American: CIX) each file periodic reports with the Securities and Exchange Commission (“SEC”).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unaudited Condensed Consolidated Financial Statements contained in this Quarterly Report have been prepared on the same basis as the audited Consolidated Financial Statements included in our Annual Report on Form 10-K for the year ended December 31, 2025 that we filed with the SEC on March 10, 2026 (the “2025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2025 contained in this Quarterly Report as compared to our audited Consolidated Financial Statements at that date, and we have omitted certain information and footnote disclosures (including those related to the Consolidated Balance Sheet at December 31, 2025) normally included in financial statements prepared in accordance with accounting principles generally accepted in the United States of America (“GAAP”). Our results of operations for the interim period ended March 31, 2026 may not be indicative of our operating results for the full year. The Condensed Consolidated Financial Statements contained in this Quarterly Report should be read in conjunction with our 2025 Consolidated Financial Statements contained in our 2025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Unless otherwise indicated, references in this report to “we,” “us” or “our” refer to Valhi, Inc. and its subsidiaries (NYSE: VHI), taken as a whole.</w:t>
      </w:r>
    </w:p>
    <w:p>
      <w:pPr>
        <w:pStyle w:val="TextBody"/>
        <w:bidi w:val="0"/>
        <w:spacing w:before="0" w:after="240"/>
        <w:ind w:left="0" w:right="0" w:hanging="0"/>
        <w:jc w:val="left"/>
        <w:rPr>
          <w:rFonts w:ascii="Times New Roman;Times;serif" w:hAnsi="Times New Roman;Times;serif"/>
          <w:b/>
          <w:sz w:val="20"/>
        </w:rPr>
      </w:pPr>
      <w:bookmarkStart w:id="581" w:name="Tc_PfP91XTp5EaX0TWkcdolFw_5_4"/>
      <w:bookmarkStart w:id="582" w:name="Tc_Olg13jDPZEaIB_v8NbwNmw_5_2"/>
      <w:bookmarkStart w:id="583" w:name="Tc_nDIo73K_uUm-sFiVfain8g_5_0"/>
      <w:bookmarkStart w:id="584" w:name="Tc_rQ13G_Hld0SBbUcyyVgKww_4_2"/>
      <w:bookmarkStart w:id="585" w:name="Tc_si4h7zmTxEChlaPqDX3iGw_4_0"/>
      <w:bookmarkStart w:id="586" w:name="Tc_eeZ2c7M3dk2aeZKgmjiztg_3_2"/>
      <w:bookmarkStart w:id="587" w:name="Tc_L6NsQH-QmkKNoHYEdeIF1g_3_0"/>
      <w:bookmarkStart w:id="588" w:name="Tc_PxrmNJF360y9yWtt9P8SOg_2_4"/>
      <w:bookmarkStart w:id="589" w:name="Tc_Veor7mRNL0OSbHZTDMXGGw_2_2"/>
      <w:bookmarkStart w:id="590" w:name="Tc_oRAwT5_KGUaVaIWBS1dhYQ_2_0"/>
      <w:bookmarkStart w:id="591" w:name="Tc_rzQvrWGG3EedaGlMIuyUqA_1_4"/>
      <w:bookmarkEnd w:id="581"/>
      <w:bookmarkEnd w:id="582"/>
      <w:bookmarkEnd w:id="583"/>
      <w:bookmarkEnd w:id="584"/>
      <w:bookmarkEnd w:id="585"/>
      <w:bookmarkEnd w:id="586"/>
      <w:bookmarkEnd w:id="587"/>
      <w:bookmarkEnd w:id="588"/>
      <w:bookmarkEnd w:id="589"/>
      <w:bookmarkEnd w:id="590"/>
      <w:bookmarkEnd w:id="591"/>
      <w:r>
        <w:rPr>
          <w:rFonts w:ascii="Times New Roman;Times;serif" w:hAnsi="Times New Roman;Times;serif"/>
          <w:b/>
          <w:sz w:val="20"/>
        </w:rPr>
        <w:t>Note 2 – Business segment information:</w:t>
      </w:r>
    </w:p>
    <w:p>
      <w:pPr>
        <w:pStyle w:val="TextBody"/>
        <w:bidi w:val="0"/>
        <w:spacing w:before="0" w:after="0"/>
        <w:ind w:left="0" w:right="0" w:hanging="0"/>
        <w:jc w:val="left"/>
        <w:rPr/>
      </w:pPr>
      <w:r>
        <w:rPr/>
        <w:t>​</w:t>
      </w:r>
    </w:p>
    <w:tbl>
      <w:tblPr>
        <w:tblW w:w="7546" w:type="dxa"/>
        <w:jc w:val="left"/>
        <w:tblInd w:w="0" w:type="dxa"/>
        <w:tblLayout w:type="fixed"/>
        <w:tblCellMar>
          <w:top w:w="0" w:type="dxa"/>
          <w:left w:w="0" w:type="dxa"/>
          <w:bottom w:w="0" w:type="dxa"/>
          <w:right w:w="0" w:type="dxa"/>
        </w:tblCellMar>
      </w:tblPr>
      <w:tblGrid>
        <w:gridCol w:w="3541"/>
        <w:gridCol w:w="346"/>
        <w:gridCol w:w="1681"/>
        <w:gridCol w:w="346"/>
        <w:gridCol w:w="1441"/>
        <w:gridCol w:w="191"/>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248535" cy="175260"/>
                      <wp:effectExtent l="0" t="0" r="0" b="0"/>
                      <wp:wrapNone/>
                      <wp:docPr id="76" name="Frame76"/>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067435" cy="175260"/>
                      <wp:effectExtent l="0" t="0" r="0" b="0"/>
                      <wp:wrapNone/>
                      <wp:docPr id="78" name="Frame78"/>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915035" cy="175260"/>
                      <wp:effectExtent l="0" t="0" r="0" b="0"/>
                      <wp:wrapNone/>
                      <wp:docPr id="80" name="Frame80"/>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21285" cy="175260"/>
                      <wp:effectExtent l="0" t="0" r="0" b="0"/>
                      <wp:wrapNone/>
                      <wp:docPr id="81" name="Frame8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6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44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controlled at</w:t>
            </w:r>
          </w:p>
        </w:tc>
        <w:tc>
          <w:tcPr>
            <w:tcW w:w="191" w:type="dxa"/>
            <w:tcBorders/>
            <w:vAlign w:val="center"/>
          </w:tcPr>
          <w:p>
            <w:pPr>
              <w:pStyle w:val="TableContents"/>
              <w:bidi w:val="0"/>
              <w:spacing w:before="0" w:after="1"/>
              <w:ind w:left="0" w:right="0" w:hanging="0"/>
              <w:jc w:val="center"/>
              <w:rPr/>
            </w:pPr>
            <w:r>
              <w:rPr/>
              <w:t> </w:t>
            </w:r>
          </w:p>
        </w:tc>
      </w:tr>
      <w:tr>
        <w:trPr/>
        <w:tc>
          <w:tcPr>
            <w:tcW w:w="35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Business segment</w:t>
            </w:r>
          </w:p>
        </w:tc>
        <w:tc>
          <w:tcPr>
            <w:tcW w:w="346" w:type="dxa"/>
            <w:tcBorders/>
            <w:vAlign w:val="center"/>
          </w:tcPr>
          <w:p>
            <w:pPr>
              <w:pStyle w:val="TableContents"/>
              <w:bidi w:val="0"/>
              <w:spacing w:before="0" w:after="1"/>
              <w:ind w:left="0" w:right="0" w:hanging="0"/>
              <w:jc w:val="center"/>
              <w:rPr/>
            </w:pPr>
            <w:r>
              <w:rPr/>
              <w:t>​</w:t>
            </w:r>
          </w:p>
        </w:tc>
        <w:tc>
          <w:tcPr>
            <w:tcW w:w="16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Entity</w:t>
            </w:r>
          </w:p>
        </w:tc>
        <w:tc>
          <w:tcPr>
            <w:tcW w:w="346" w:type="dxa"/>
            <w:tcBorders/>
            <w:vAlign w:val="center"/>
          </w:tcPr>
          <w:p>
            <w:pPr>
              <w:pStyle w:val="TableContents"/>
              <w:bidi w:val="0"/>
              <w:spacing w:before="0" w:after="1"/>
              <w:ind w:left="0" w:right="0" w:hanging="0"/>
              <w:jc w:val="center"/>
              <w:rPr/>
            </w:pPr>
            <w:r>
              <w:rPr/>
              <w:t>​</w:t>
            </w:r>
          </w:p>
        </w:tc>
        <w:tc>
          <w:tcPr>
            <w:tcW w:w="14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2026</w:t>
            </w:r>
          </w:p>
        </w:tc>
        <w:tc>
          <w:tcPr>
            <w:tcW w:w="19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Chemicals</w:t>
            </w:r>
          </w:p>
        </w:tc>
        <w:tc>
          <w:tcPr>
            <w:tcW w:w="346" w:type="dxa"/>
            <w:tcBorders/>
            <w:shd w:fill="CCEEFF" w:val="clear"/>
            <w:vAlign w:val="center"/>
          </w:tcPr>
          <w:p>
            <w:pPr>
              <w:pStyle w:val="TableContents"/>
              <w:bidi w:val="0"/>
              <w:spacing w:before="0" w:after="1"/>
              <w:ind w:left="0" w:right="0" w:hanging="0"/>
              <w:jc w:val="left"/>
              <w:rPr/>
            </w:pPr>
            <w:r>
              <w:rPr/>
              <w:t> </w:t>
            </w:r>
          </w:p>
        </w:tc>
        <w:tc>
          <w:tcPr>
            <w:tcW w:w="1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Kronos</w:t>
            </w:r>
          </w:p>
        </w:tc>
        <w:tc>
          <w:tcPr>
            <w:tcW w:w="346" w:type="dxa"/>
            <w:tcBorders/>
            <w:shd w:fill="CCEEFF" w:val="clear"/>
            <w:vAlign w:val="center"/>
          </w:tcPr>
          <w:p>
            <w:pPr>
              <w:pStyle w:val="TableContents"/>
              <w:bidi w:val="0"/>
              <w:spacing w:before="0" w:after="1"/>
              <w:ind w:left="0" w:right="0" w:hanging="0"/>
              <w:jc w:val="left"/>
              <w:rPr/>
            </w:pPr>
            <w:r>
              <w:rPr/>
              <w:t> </w:t>
            </w:r>
          </w:p>
        </w:tc>
        <w:tc>
          <w:tcPr>
            <w:tcW w:w="1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346" w:type="dxa"/>
            <w:tcBorders/>
            <w:vAlign w:val="center"/>
          </w:tcPr>
          <w:p>
            <w:pPr>
              <w:pStyle w:val="TableContents"/>
              <w:bidi w:val="0"/>
              <w:spacing w:before="0" w:after="1"/>
              <w:ind w:left="0" w:right="0" w:hanging="0"/>
              <w:jc w:val="left"/>
              <w:rPr/>
            </w:pPr>
            <w:r>
              <w:rPr/>
              <w:t> </w:t>
            </w:r>
          </w:p>
        </w:tc>
        <w:tc>
          <w:tcPr>
            <w:tcW w:w="1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CompX</w:t>
            </w:r>
          </w:p>
        </w:tc>
        <w:tc>
          <w:tcPr>
            <w:tcW w:w="346" w:type="dxa"/>
            <w:tcBorders/>
            <w:vAlign w:val="center"/>
          </w:tcPr>
          <w:p>
            <w:pPr>
              <w:pStyle w:val="TableContents"/>
              <w:bidi w:val="0"/>
              <w:spacing w:before="0" w:after="1"/>
              <w:ind w:left="0" w:right="0" w:hanging="0"/>
              <w:jc w:val="left"/>
              <w:rPr/>
            </w:pPr>
            <w:r>
              <w:rPr/>
              <w:t> </w:t>
            </w:r>
          </w:p>
        </w:tc>
        <w:tc>
          <w:tcPr>
            <w:tcW w:w="14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191" w:type="dxa"/>
            <w:tcBorders/>
            <w:vAlign w:val="center"/>
          </w:tcPr>
          <w:p>
            <w:pPr>
              <w:pStyle w:val="TableContents"/>
              <w:bidi w:val="0"/>
              <w:spacing w:before="0" w:after="1"/>
              <w:ind w:left="0" w:right="0" w:hanging="0"/>
              <w:jc w:val="left"/>
              <w:rPr/>
            </w:pPr>
            <w:r>
              <w:rPr/>
              <w:t>​</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management and development</w:t>
            </w:r>
          </w:p>
        </w:tc>
        <w:tc>
          <w:tcPr>
            <w:tcW w:w="346" w:type="dxa"/>
            <w:tcBorders/>
            <w:shd w:fill="CCEEFF" w:val="clear"/>
            <w:vAlign w:val="center"/>
          </w:tcPr>
          <w:p>
            <w:pPr>
              <w:pStyle w:val="TableContents"/>
              <w:bidi w:val="0"/>
              <w:spacing w:before="0" w:after="1"/>
              <w:ind w:left="0" w:right="0" w:hanging="0"/>
              <w:jc w:val="left"/>
              <w:rPr/>
            </w:pPr>
            <w:r>
              <w:rPr/>
              <w:t> </w:t>
            </w:r>
          </w:p>
        </w:tc>
        <w:tc>
          <w:tcPr>
            <w:tcW w:w="1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BMI and LandWell</w:t>
            </w:r>
          </w:p>
        </w:tc>
        <w:tc>
          <w:tcPr>
            <w:tcW w:w="346" w:type="dxa"/>
            <w:tcBorders/>
            <w:shd w:fill="CCEEFF" w:val="clear"/>
            <w:vAlign w:val="center"/>
          </w:tcPr>
          <w:p>
            <w:pPr>
              <w:pStyle w:val="TableContents"/>
              <w:bidi w:val="0"/>
              <w:spacing w:before="0" w:after="1"/>
              <w:ind w:left="0" w:right="0" w:hanging="0"/>
              <w:jc w:val="left"/>
              <w:rPr/>
            </w:pPr>
            <w:r>
              <w:rPr/>
              <w:t> </w:t>
            </w:r>
          </w:p>
        </w:tc>
        <w:tc>
          <w:tcPr>
            <w:tcW w:w="1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63 - 77%</w:t>
            </w:r>
          </w:p>
        </w:tc>
        <w:tc>
          <w:tcPr>
            <w:tcW w:w="1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Our control of Kronos includes approximately 50% we hold directly and approximately 31% held directly by NL. We own approximately 83% of NL. Our control of CompX is through NL. We own approximately 63% of BMI. Our control of LandWell includes the approximately 27% we hold directly and 50% held by BMI.</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chief operating decision maker (“CODM”) evaluates segment performance based on each segment’s operating income, which is defined as income before income taxes and interest expense, exclusive of certain non-recurring items (such as gains or losses on disposition of business units and other long-lived assets outside the ordinary course of business and certain legal settlements) and certain general corporate income and expense items (including securities transactions gains and losses and interest and dividend income), which are not attributable to the operations of the reportable operating segments. Segment results we report may differ from amounts separately reported by our various subsidiaries due to purchase accounting adjustments and related amortization or differences in the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83">
                <wp:simplePos x="0" y="0"/>
                <wp:positionH relativeFrom="page">
                  <wp:posOffset>0</wp:posOffset>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both"/>
        <w:rPr>
          <w:rFonts w:ascii="Times New Roman;Times;serif" w:hAnsi="Times New Roman;Times;serif"/>
          <w:sz w:val="20"/>
        </w:rPr>
      </w:pPr>
      <w:bookmarkStart w:id="592" w:name="Tc_-WAN85oYYkGGJS3zHzV20A_9_5"/>
      <w:bookmarkStart w:id="593" w:name="Tc_om6PaPT9rEa18vuCG9EZDQ_9_2"/>
      <w:bookmarkStart w:id="594" w:name="Tc_CulfGvaky02AfT2RepFx9g_9_0"/>
      <w:bookmarkStart w:id="595" w:name="Tc_24CO0bOiUk--tWNN1pONyA_8_6"/>
      <w:bookmarkStart w:id="596" w:name="Tc_txpig5sufk2REDk1M90Ciw_8_3"/>
      <w:bookmarkStart w:id="597" w:name="Tc_OXYB7ZlfPESx2qDZT825kQ_8_0"/>
      <w:bookmarkStart w:id="598" w:name="Tc_tb1kVPBEjU2ZRK1Ad6qwww_7_0"/>
      <w:bookmarkStart w:id="599" w:name="Tc_Md6EBPh2w0e9LTna4xt5Pg_6_5"/>
      <w:bookmarkStart w:id="600" w:name="Tc_YYSrUY1HhkmLwtTLpBSi7w_6_2"/>
      <w:bookmarkStart w:id="601" w:name="Tc_q9Z1qFlJOEK6ccyfzpOK1w_6_0"/>
      <w:bookmarkStart w:id="602" w:name="Tc_3xu9had3wkeh9E0mZrLkJA_5_0"/>
      <w:bookmarkStart w:id="603" w:name="Tc_9bfHi4VQ0UC3mujQ1APMFA_4_2"/>
      <w:bookmarkStart w:id="604" w:name="Tc_ckKjI4KsHkWdlzYTFiBYiA_3_5"/>
      <w:bookmarkStart w:id="605" w:name="Tc_cL90vn3XT02Ai09vYmfJpQ_3_2"/>
      <w:bookmarkStart w:id="606" w:name="Tc_kf-ay5AL7EaKOA1MEB9-Ig_2_2"/>
      <w:bookmarkStart w:id="607" w:name="Tc_lM1yG9qJlU24gOOJJ2ejlw_1_2"/>
      <w:bookmarkStart w:id="608" w:name="Tc_4y7QPnmK_0q8ie5Gey29qg_31_5"/>
      <w:bookmarkStart w:id="609" w:name="Tc_bhAPisxZxUuPfz-B7F1phA_31_2"/>
      <w:bookmarkStart w:id="610" w:name="Tc_w5qezxCu7UedWi_mFGcgQQ_31_0"/>
      <w:bookmarkStart w:id="611" w:name="Tc_j9YlxTY41UKltg2xLDUvTg_30_0"/>
      <w:bookmarkStart w:id="612" w:name="Tc_A2ddw-oMZUepJKMhyFISag_29_0"/>
      <w:bookmarkStart w:id="613" w:name="Tc_6QHnjVH7GkWFexh26VLhgg_28_0"/>
      <w:bookmarkStart w:id="614" w:name="Tc_JlO0Hm5lIUmQ1tt2d-Q-XA_27_0"/>
      <w:bookmarkStart w:id="615" w:name="Tc_QJuSBIw2rUCFd8mXwg6WMQ_26_0"/>
      <w:bookmarkStart w:id="616" w:name="Tc_rfUMZASXFU6B1ZWTKNKmpg_25_0"/>
      <w:bookmarkStart w:id="617" w:name="Tc__Fbqw1QN5UyjZt_6IVBqQg_24_0"/>
      <w:bookmarkStart w:id="618" w:name="Tc_CWdMa40kVk2-qIFCblmFdw_23_0"/>
      <w:bookmarkStart w:id="619" w:name="Tc_7pICWb6G50qiU-w3g6Swwg_22_0"/>
      <w:bookmarkStart w:id="620" w:name="Tc_CUd-GtVv_0SZHrGV6tffUA_21_5"/>
      <w:bookmarkStart w:id="621" w:name="Tc_Ywek2bIUvkq_uWvfiYjXaQ_21_2"/>
      <w:bookmarkStart w:id="622" w:name="Tc_B2FNdNi8OESMlCpw-X-Ymw_21_0"/>
      <w:bookmarkStart w:id="623" w:name="Tc_SylDbiYr9EOHLNprCQJAyA_20_0"/>
      <w:bookmarkStart w:id="624" w:name="Tc_L1axtQBvP0O7c08ImuCs5w_19_5"/>
      <w:bookmarkStart w:id="625" w:name="Tc_KAcY4w3Js0SY-l4odPcd_w_19_2"/>
      <w:bookmarkStart w:id="626" w:name="Tc__SF8un-c8EqsFm0uigO6Ig_19_0"/>
      <w:bookmarkStart w:id="627" w:name="Tc_Q6iW8EqGaEOX3lQBD_qRtA_18_0"/>
      <w:bookmarkStart w:id="628" w:name="Tc_S48HWJbTrEeVejdn5_fkdw_17_0"/>
      <w:bookmarkStart w:id="629" w:name="Tc_OE_KdZawokmb-mb_XKClDg_16_5"/>
      <w:bookmarkStart w:id="630" w:name="Tc_3srfqaK5L0W_De--7SOAKg_16_2"/>
      <w:bookmarkStart w:id="631" w:name="Tc_HBLReOUKw0uKYlhcLK--ZA_16_0"/>
      <w:bookmarkStart w:id="632" w:name="Tc_Z9eBXk9ZVkKRYx42qsfyDA_15_0"/>
      <w:bookmarkStart w:id="633" w:name="Tc_ECcrc2uDaUaeWP-lLvsvJQ_14_5"/>
      <w:bookmarkStart w:id="634" w:name="Tc_cF_znJLXsk-L0zrxw5Tpdw_14_2"/>
      <w:bookmarkStart w:id="635" w:name="Tc_Kr5NzS1W7EaennO18-AuCw_14_0"/>
      <w:bookmarkStart w:id="636" w:name="Tc_EZk65I-6pEGFw0ZASWRC6A_13_0"/>
      <w:bookmarkStart w:id="637" w:name="Tc_5LtenfM5VEanyuXre9yvhg_12_0"/>
      <w:bookmarkStart w:id="638" w:name="Tc_fPqCC7A08UeBB68FF_GweA_11_5"/>
      <w:bookmarkStart w:id="639" w:name="Tc_N4Wi3SM9YUadJEeN4NMJNg_11_2"/>
      <w:bookmarkStart w:id="640" w:name="Tc_RcIYWILVBkG4pyI8vMlGzw_11_0"/>
      <w:bookmarkStart w:id="641" w:name="Tc_RUHLJygoK0aztuVk8TwpQA_10_0"/>
      <w:bookmarkStart w:id="642" w:name="Tc_EgyGsiaNNEON58heb8bWfQ_9_5"/>
      <w:bookmarkStart w:id="643" w:name="Tc_g27_H1zA-UCA24HzR29N3Q_9_2"/>
      <w:bookmarkStart w:id="644" w:name="Tc_Caeu_zSieUqAyMZTD4YgSA_9_0"/>
      <w:bookmarkStart w:id="645" w:name="Tc_40vmOAKsPUmMmFNsI66Otg_8_0"/>
      <w:bookmarkStart w:id="646" w:name="Tc_NB94D9DzpEaO_m72tDDWHQ_7_0"/>
      <w:bookmarkStart w:id="647" w:name="Tc_tYYM4sUxnk-J8FtVs4A3Iw_6_5"/>
      <w:bookmarkStart w:id="648" w:name="Tc_BuEIPYOyrkyjF_5wCdKRTA_6_2"/>
      <w:bookmarkStart w:id="649" w:name="Tc_HS_c0lq11Uq8sDYEiHzfhA_6_0"/>
      <w:bookmarkStart w:id="650" w:name="Tc_gORW7pXgVUCW9P7f0ZIQKw_5_0"/>
      <w:bookmarkStart w:id="651" w:name="Tc_afJqAw3JVU2WcunlTcEJbg_4_2"/>
      <w:bookmarkStart w:id="652" w:name="Tc_dB3vAm3R306frBMFl5DDLQ_3_5"/>
      <w:bookmarkStart w:id="653" w:name="Tc_XLfMzXngFkuL0q97dA77Fw_3_2"/>
      <w:bookmarkStart w:id="654" w:name="Tc__Cuv9NDXSkqC1bnuTjTI8g_2_2"/>
      <w:bookmarkStart w:id="655" w:name="Tc_Hlc7eI6k0k2UEtroH2OEmw_1_2"/>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r>
        <w:rPr>
          <w:rFonts w:ascii="Times New Roman;Times;serif" w:hAnsi="Times New Roman;Times;serif"/>
          <w:sz w:val="20"/>
        </w:rPr>
        <w:t>way we define operating income. Intersegment sales are not material. Our CODM is not regularly provided financial information related to the assets of the reportable segments, including capital expenditures, and he does not evaluate the reportable segments’ performance or allocate resources to them based on assets. Therefore, total assets by reportable segment are not included in our segment disclosures. Interest income included in the calculation of segment operating income is not significant for the three months ended March 31, 2025 and 2026.</w:t>
      </w:r>
    </w:p>
    <w:p>
      <w:pPr>
        <w:pStyle w:val="TextBody"/>
        <w:bidi w:val="0"/>
        <w:spacing w:before="0" w:after="0"/>
        <w:ind w:left="0" w:right="0" w:hanging="0"/>
        <w:jc w:val="left"/>
        <w:rPr/>
      </w:pPr>
      <w:r>
        <w:rPr/>
        <w:t>​</w:t>
      </w:r>
    </w:p>
    <w:tbl>
      <w:tblPr>
        <w:tblW w:w="8182" w:type="dxa"/>
        <w:jc w:val="left"/>
        <w:tblInd w:w="0" w:type="dxa"/>
        <w:tblLayout w:type="fixed"/>
        <w:tblCellMar>
          <w:top w:w="0" w:type="dxa"/>
          <w:left w:w="0" w:type="dxa"/>
          <w:bottom w:w="0" w:type="dxa"/>
          <w:right w:w="0" w:type="dxa"/>
        </w:tblCellMar>
      </w:tblPr>
      <w:tblGrid>
        <w:gridCol w:w="5731"/>
        <w:gridCol w:w="406"/>
        <w:gridCol w:w="211"/>
        <w:gridCol w:w="586"/>
        <w:gridCol w:w="406"/>
        <w:gridCol w:w="211"/>
        <w:gridCol w:w="631"/>
      </w:tblGrid>
      <w:tr>
        <w:trPr/>
        <w:tc>
          <w:tcPr>
            <w:tcW w:w="5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639185" cy="175260"/>
                      <wp:effectExtent l="0" t="0" r="0" b="0"/>
                      <wp:wrapNone/>
                      <wp:docPr id="83" name="Frame83"/>
                      <a:graphic xmlns:a="http://schemas.openxmlformats.org/drawingml/2006/main">
                        <a:graphicData uri="http://schemas.microsoft.com/office/word/2010/wordprocessingShape">
                          <wps:wsp>
                            <wps:cNvSpPr txBox="1"/>
                            <wps:spPr>
                              <a:xfrm>
                                <a:off x="0" y="0"/>
                                <a:ext cx="3639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57810" cy="175260"/>
                      <wp:effectExtent l="0" t="0" r="0" b="0"/>
                      <wp:wrapNone/>
                      <wp:docPr id="84" name="Frame8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72110" cy="175260"/>
                      <wp:effectExtent l="0" t="0" r="0" b="0"/>
                      <wp:wrapNone/>
                      <wp:docPr id="86" name="Frame8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57810" cy="175260"/>
                      <wp:effectExtent l="0" t="0" r="0" b="0"/>
                      <wp:wrapNone/>
                      <wp:docPr id="87" name="Frame8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00685" cy="175260"/>
                      <wp:effectExtent l="0" t="0" r="0" b="0"/>
                      <wp:wrapNone/>
                      <wp:docPr id="89" name="Frame8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4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57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57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  ​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06" w:type="dxa"/>
            <w:tcBorders/>
            <w:vAlign w:val="center"/>
          </w:tcPr>
          <w:p>
            <w:pPr>
              <w:pStyle w:val="TableContents"/>
              <w:bidi w:val="0"/>
              <w:spacing w:before="0" w:after="0"/>
              <w:ind w:left="0" w:right="0" w:hanging="0"/>
              <w:jc w:val="center"/>
              <w:rPr/>
            </w:pPr>
            <w:r>
              <w:rPr/>
              <w:t>  ​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818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7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204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Chemicals</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489.8</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509.8</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40.6</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management and development</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560.1</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Chemicals</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427.0</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27.3</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management and development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416.1</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457.1</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  ​</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Chemicals</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82.8</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management and development</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margin</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103.0</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Chemicals</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management and development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operating income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32.9</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corporate items:</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  ​</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and other</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components of net periodic pension and OPEB expense</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market value of Valhi common stock held by subsidiaries</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expenses, net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14.1</w:t>
            </w:r>
          </w:p>
        </w:tc>
      </w:tr>
    </w:tbl>
    <w:p>
      <w:pPr>
        <w:pStyle w:val="TextBody"/>
        <w:bidi w:val="0"/>
        <w:spacing w:before="0" w:after="0"/>
        <w:ind w:left="0" w:right="0" w:firstLine="720"/>
        <w:jc w:val="both"/>
        <w:rPr/>
      </w:pPr>
      <w:r>
        <w:rPr/>
        <w:t>​</w:t>
      </w:r>
    </w:p>
    <w:tbl>
      <w:tblPr>
        <w:tblW w:w="5745" w:type="dxa"/>
        <w:jc w:val="left"/>
        <w:tblInd w:w="0" w:type="dxa"/>
        <w:tblLayout w:type="fixed"/>
        <w:tblCellMar>
          <w:top w:w="0" w:type="dxa"/>
          <w:left w:w="0" w:type="dxa"/>
          <w:bottom w:w="0" w:type="dxa"/>
          <w:right w:w="0" w:type="dxa"/>
        </w:tblCellMar>
      </w:tblPr>
      <w:tblGrid>
        <w:gridCol w:w="3541"/>
        <w:gridCol w:w="346"/>
        <w:gridCol w:w="217"/>
        <w:gridCol w:w="480"/>
        <w:gridCol w:w="356"/>
        <w:gridCol w:w="217"/>
        <w:gridCol w:w="588"/>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248535" cy="175260"/>
                      <wp:effectExtent l="0" t="0" r="0" b="0"/>
                      <wp:wrapNone/>
                      <wp:docPr id="90" name="Frame90"/>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7795" cy="175260"/>
                      <wp:effectExtent l="0" t="0" r="0" b="0"/>
                      <wp:wrapNone/>
                      <wp:docPr id="92" name="Frame92"/>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04800" cy="175260"/>
                      <wp:effectExtent l="0" t="0" r="0" b="0"/>
                      <wp:wrapNone/>
                      <wp:docPr id="93" name="Frame93"/>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26060" cy="175260"/>
                      <wp:effectExtent l="0" t="0" r="0" b="0"/>
                      <wp:wrapNone/>
                      <wp:docPr id="94" name="Frame94"/>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7795" cy="175260"/>
                      <wp:effectExtent l="0" t="0" r="0" b="0"/>
                      <wp:wrapNone/>
                      <wp:docPr id="95" name="Frame95"/>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73380" cy="175260"/>
                      <wp:effectExtent l="0" t="0" r="0" b="0"/>
                      <wp:wrapNone/>
                      <wp:docPr id="96" name="Frame96"/>
                      <a:graphic xmlns:a="http://schemas.openxmlformats.org/drawingml/2006/main">
                        <a:graphicData uri="http://schemas.microsoft.com/office/word/2010/wordprocessingShape">
                          <wps:wsp>
                            <wps:cNvSpPr txBox="1"/>
                            <wps:spPr>
                              <a:xfrm>
                                <a:off x="0" y="0"/>
                                <a:ext cx="373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5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56" w:type="dxa"/>
            <w:tcBorders/>
            <w:vAlign w:val="center"/>
          </w:tcPr>
          <w:p>
            <w:pPr>
              <w:pStyle w:val="TableContents"/>
              <w:bidi w:val="0"/>
              <w:spacing w:before="0" w:after="0"/>
              <w:ind w:left="0" w:right="0" w:hanging="0"/>
              <w:jc w:val="center"/>
              <w:rPr/>
            </w:pPr>
            <w:r>
              <w:rPr/>
              <w:t>  ​ ​ ​</w:t>
            </w:r>
          </w:p>
        </w:tc>
        <w:tc>
          <w:tcPr>
            <w:tcW w:w="8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74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5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 </w:t>
            </w:r>
          </w:p>
        </w:tc>
        <w:tc>
          <w:tcPr>
            <w:tcW w:w="217"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  ​</w:t>
            </w:r>
          </w:p>
        </w:tc>
        <w:tc>
          <w:tcPr>
            <w:tcW w:w="356" w:type="dxa"/>
            <w:tcBorders/>
            <w:shd w:fill="CCEEFF" w:val="clear"/>
            <w:vAlign w:val="center"/>
          </w:tcPr>
          <w:p>
            <w:pPr>
              <w:pStyle w:val="TableContents"/>
              <w:bidi w:val="0"/>
              <w:spacing w:before="0" w:after="0"/>
              <w:ind w:left="0" w:right="0" w:hanging="0"/>
              <w:jc w:val="left"/>
              <w:rPr/>
            </w:pPr>
            <w:r>
              <w:rPr/>
              <w:t> </w:t>
            </w:r>
          </w:p>
        </w:tc>
        <w:tc>
          <w:tcPr>
            <w:tcW w:w="217"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pPr>
            <w:r>
              <w:rPr/>
              <w:t>  ​</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Chemicals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5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5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58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management and development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5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16.9</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Infrastructure reimbursements are included in the determination of the Real Estate Management and Development operating income. See Note 12.</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98">
                <wp:simplePos x="0" y="0"/>
                <wp:positionH relativeFrom="page">
                  <wp:posOffset>0</wp:posOffset>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b/>
          <w:sz w:val="20"/>
        </w:rPr>
      </w:pPr>
      <w:bookmarkStart w:id="656" w:name="Tc_L16m06xLykCCwezvXkv8Ug_15_5"/>
      <w:bookmarkStart w:id="657" w:name="Tc_1x9o9tIRREauZpAnpu0lAw_15_2"/>
      <w:bookmarkStart w:id="658" w:name="Tc_pYi5NnFlJE2U75xYC1g4QQ_15_0"/>
      <w:bookmarkStart w:id="659" w:name="Tc_25kOtPWOo0acRlB72Y-2Pg_14_0"/>
      <w:bookmarkStart w:id="660" w:name="Tc_fdV7cbLS50iodsNEfN22tg_13_0"/>
      <w:bookmarkStart w:id="661" w:name="Tc_F8rwUxfrnEuUFTvajjxF5Q_12_0"/>
      <w:bookmarkStart w:id="662" w:name="Tc_QKjvGV7n4kGEhpdhhPxFfg_11_0"/>
      <w:bookmarkStart w:id="663" w:name="Tc_Lc3cRVFzwE6LXUdQHVWNKw_10_0"/>
      <w:bookmarkStart w:id="664" w:name="Tc_dHhUfSvM60-zoIociCrF8w_9_0"/>
      <w:bookmarkStart w:id="665" w:name="Tc_d30Bn4N9uU-AXdJBZRhLWQ_8_0"/>
      <w:bookmarkStart w:id="666" w:name="Tc_XvD9G0lSAE6ACJxO9x3xww_7_0"/>
      <w:bookmarkStart w:id="667" w:name="Tc_4v8YZjkvTUaaW1iLy74gZg_6_0"/>
      <w:bookmarkStart w:id="668" w:name="Tc_6XXgS3foeUCcRYp9Kb185Q_5_5"/>
      <w:bookmarkStart w:id="669" w:name="Tc_VEH_pW7JVUaIpolgzwARpA_5_2"/>
      <w:bookmarkStart w:id="670" w:name="Tc_PYGT6jMM1E-o857mLUPCIg_5_0"/>
      <w:bookmarkStart w:id="671" w:name="Tc_zOCm_Ei1DUGqKmBoz3vvOw_4_0"/>
      <w:bookmarkStart w:id="672" w:name="Tc_m3HYiUCl1Eq1Sx1uvaSIFg_3_2"/>
      <w:bookmarkStart w:id="673" w:name="Tc_GF3HG8Ee30iPOnEN_QBdIw_2_5"/>
      <w:bookmarkStart w:id="674" w:name="Tc_WFvSH_Pw-0WRoVpZBvpkzw_2_2"/>
      <w:bookmarkStart w:id="675" w:name="Tc_7TSvOioaIUyMK1vvJWbzsg_1_5"/>
      <w:bookmarkStart w:id="676" w:name="Tc_56_gvvkIGE-2ymuLEmanFw_1_2"/>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rFonts w:ascii="Times New Roman;Times;serif" w:hAnsi="Times New Roman;Times;serif"/>
          <w:b/>
          <w:sz w:val="20"/>
        </w:rPr>
        <w:t>Note 3 – Accounts and other receivables, net:</w:t>
      </w:r>
    </w:p>
    <w:p>
      <w:pPr>
        <w:pStyle w:val="TextBody"/>
        <w:bidi w:val="0"/>
        <w:spacing w:before="0" w:after="0"/>
        <w:ind w:left="0" w:right="0" w:hanging="0"/>
        <w:jc w:val="left"/>
        <w:rPr/>
      </w:pPr>
      <w:r>
        <w:rPr/>
        <w:t>​</w:t>
      </w:r>
    </w:p>
    <w:tbl>
      <w:tblPr>
        <w:tblW w:w="5838" w:type="dxa"/>
        <w:jc w:val="left"/>
        <w:tblInd w:w="0" w:type="dxa"/>
        <w:tblLayout w:type="fixed"/>
        <w:tblCellMar>
          <w:top w:w="0" w:type="dxa"/>
          <w:left w:w="0" w:type="dxa"/>
          <w:bottom w:w="0" w:type="dxa"/>
          <w:right w:w="0" w:type="dxa"/>
        </w:tblCellMar>
      </w:tblPr>
      <w:tblGrid>
        <w:gridCol w:w="2776"/>
        <w:gridCol w:w="346"/>
        <w:gridCol w:w="352"/>
        <w:gridCol w:w="953"/>
        <w:gridCol w:w="346"/>
        <w:gridCol w:w="253"/>
        <w:gridCol w:w="812"/>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762760" cy="175260"/>
                      <wp:effectExtent l="0" t="0" r="0" b="0"/>
                      <wp:wrapNone/>
                      <wp:docPr id="98" name="Frame98"/>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23520" cy="175260"/>
                      <wp:effectExtent l="0" t="0" r="0" b="0"/>
                      <wp:wrapNone/>
                      <wp:docPr id="100" name="Frame100"/>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05155" cy="175260"/>
                      <wp:effectExtent l="0" t="0" r="0" b="0"/>
                      <wp:wrapNone/>
                      <wp:docPr id="101" name="Frame101"/>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60655" cy="175260"/>
                      <wp:effectExtent l="0" t="0" r="0" b="0"/>
                      <wp:wrapNone/>
                      <wp:docPr id="103" name="Frame103"/>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15620" cy="175260"/>
                      <wp:effectExtent l="0" t="0" r="0" b="0"/>
                      <wp:wrapNone/>
                      <wp:docPr id="104" name="Frame104"/>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83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1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w:t>
            </w:r>
          </w:p>
        </w:tc>
        <w:tc>
          <w:tcPr>
            <w:tcW w:w="346" w:type="dxa"/>
            <w:tcBorders/>
            <w:shd w:fill="CCEEFF" w:val="clear"/>
            <w:vAlign w:val="center"/>
          </w:tcPr>
          <w:p>
            <w:pPr>
              <w:pStyle w:val="TableContents"/>
              <w:bidi w:val="0"/>
              <w:spacing w:before="0" w:after="0"/>
              <w:ind w:left="0" w:right="0" w:hanging="0"/>
              <w:jc w:val="left"/>
              <w:rPr/>
            </w:pPr>
            <w:r>
              <w:rPr/>
              <w:t> </w:t>
            </w:r>
          </w:p>
        </w:tc>
        <w:tc>
          <w:tcPr>
            <w:tcW w:w="352" w:type="dxa"/>
            <w:tcBorders/>
            <w:shd w:fill="CCEEFF" w:val="clear"/>
            <w:vAlign w:val="center"/>
          </w:tcPr>
          <w:p>
            <w:pPr>
              <w:pStyle w:val="TableContents"/>
              <w:bidi w:val="0"/>
              <w:spacing w:before="0" w:after="0"/>
              <w:ind w:left="0" w:right="0" w:hanging="0"/>
              <w:jc w:val="left"/>
              <w:rPr/>
            </w:pPr>
            <w:r>
              <w:rPr/>
              <w:t>​</w:t>
            </w:r>
          </w:p>
        </w:tc>
        <w:tc>
          <w:tcPr>
            <w:tcW w:w="95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  ​</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Kronos</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270.7</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357.9</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CompX</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BMI/LandWell</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 </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VAT and 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35.5</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from affiliates:</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left"/>
              <w:rPr/>
            </w:pPr>
            <w:r>
              <w:rPr/>
              <w:t>​</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Contran -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Contran - trade items</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Refundable income taxes</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414.8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240" w:after="240"/>
        <w:ind w:left="0" w:right="0" w:hanging="0"/>
        <w:jc w:val="left"/>
        <w:rPr>
          <w:rFonts w:ascii="Times New Roman;Times;serif" w:hAnsi="Times New Roman;Times;serif"/>
          <w:b/>
          <w:sz w:val="20"/>
        </w:rPr>
      </w:pPr>
      <w:bookmarkStart w:id="677" w:name="Tc_VzPE1_Dcg0O4Anqumakf7w_17_5"/>
      <w:bookmarkStart w:id="678" w:name="Tc_6iGYu7RbUUiFwgPAJuLIWA_17_2"/>
      <w:bookmarkStart w:id="679" w:name="Tc_GOluAs1Zm0-5-FRNRIRAOg_17_0"/>
      <w:bookmarkStart w:id="680" w:name="Tc_l-wnxtmKLku9OzqOCq_q_g_16_0"/>
      <w:bookmarkStart w:id="681" w:name="Tc_INxCflVYFUqBO4m4-K4qPA_15_0"/>
      <w:bookmarkStart w:id="682" w:name="Tc_BK3eQHQdLkWsg6Dn2TW_Fw_14_0"/>
      <w:bookmarkStart w:id="683" w:name="Tc_2AtlimYc7UuXeNW4hZn9ag_13_0"/>
      <w:bookmarkStart w:id="684" w:name="Tc_oC6TARks1EOyqjqbMxVJwA_12_0"/>
      <w:bookmarkStart w:id="685" w:name="Tc_bHiCq5BkSkmsUcanpbGvFA_11_0"/>
      <w:bookmarkStart w:id="686" w:name="Tc_8M82V9uGPU-Sa4dqXwuXBw_10_0"/>
      <w:bookmarkStart w:id="687" w:name="Tc_8AhQUgYxj02nhgoMCqeXAA_9_0"/>
      <w:bookmarkStart w:id="688" w:name="Tc_je9WXIPmCUGLq7JuqZfU_g_8_0"/>
      <w:bookmarkStart w:id="689" w:name="Tc_z0JiKdsBGUay98jC5EHM1A_7_0"/>
      <w:bookmarkStart w:id="690" w:name="Tc_dORLnO-BfkqI6wJCDzyxzw_6_0"/>
      <w:bookmarkStart w:id="691" w:name="Tc_B5cOIpsXH0i24ozfbFsxKQ_5_5"/>
      <w:bookmarkStart w:id="692" w:name="Tc_Ea4mLGPKDUCsWduAHRtRxQ_5_2"/>
      <w:bookmarkStart w:id="693" w:name="Tc_gLlg_QQpKk-wsJuJL6LwBQ_5_0"/>
      <w:bookmarkStart w:id="694" w:name="Tc_A2AyE96lNkOwGkryEUyj6g_4_0"/>
      <w:bookmarkStart w:id="695" w:name="Tc_cva7NqeKr06hhsZpo-JMVw_3_2"/>
      <w:bookmarkStart w:id="696" w:name="Tc_n567MjW7QkCyF6WpIv7FCA_2_5"/>
      <w:bookmarkStart w:id="697" w:name="Tc_PlMz0Lkebk6DKnGNEr8aiw_2_2"/>
      <w:bookmarkStart w:id="698" w:name="Tc_vrUJBRCKw0my8loYy-ah0w_1_5"/>
      <w:bookmarkStart w:id="699" w:name="Tc_TZCD3vBMEk2MuK7BSE5GTA_1_2"/>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Pr>
          <w:rFonts w:ascii="Times New Roman;Times;serif" w:hAnsi="Times New Roman;Times;serif"/>
          <w:b/>
          <w:sz w:val="20"/>
        </w:rPr>
        <w:t>Note 4 – Inventories, net:</w:t>
      </w:r>
    </w:p>
    <w:p>
      <w:pPr>
        <w:pStyle w:val="TextBody"/>
        <w:bidi w:val="0"/>
        <w:spacing w:before="0" w:after="0"/>
        <w:ind w:left="0" w:right="0" w:hanging="0"/>
        <w:jc w:val="left"/>
        <w:rPr/>
      </w:pPr>
      <w:r>
        <w:rPr/>
        <w:t>​</w:t>
      </w:r>
    </w:p>
    <w:tbl>
      <w:tblPr>
        <w:tblW w:w="5238" w:type="dxa"/>
        <w:jc w:val="left"/>
        <w:tblInd w:w="0" w:type="dxa"/>
        <w:tblLayout w:type="fixed"/>
        <w:tblCellMar>
          <w:top w:w="0" w:type="dxa"/>
          <w:left w:w="0" w:type="dxa"/>
          <w:bottom w:w="0" w:type="dxa"/>
          <w:right w:w="0" w:type="dxa"/>
        </w:tblCellMar>
      </w:tblPr>
      <w:tblGrid>
        <w:gridCol w:w="2176"/>
        <w:gridCol w:w="346"/>
        <w:gridCol w:w="352"/>
        <w:gridCol w:w="953"/>
        <w:gridCol w:w="346"/>
        <w:gridCol w:w="253"/>
        <w:gridCol w:w="812"/>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81760" cy="175260"/>
                      <wp:effectExtent l="0" t="0" r="0" b="0"/>
                      <wp:wrapNone/>
                      <wp:docPr id="105" name="Frame105"/>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23520" cy="175260"/>
                      <wp:effectExtent l="0" t="0" r="0" b="0"/>
                      <wp:wrapNone/>
                      <wp:docPr id="107" name="Frame107"/>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05155" cy="175260"/>
                      <wp:effectExtent l="0" t="0" r="0" b="0"/>
                      <wp:wrapNone/>
                      <wp:docPr id="108" name="Frame108"/>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60655" cy="175260"/>
                      <wp:effectExtent l="0" t="0" r="0" b="0"/>
                      <wp:wrapNone/>
                      <wp:docPr id="110" name="Frame110"/>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15620" cy="175260"/>
                      <wp:effectExtent l="0" t="0" r="0" b="0"/>
                      <wp:wrapNone/>
                      <wp:docPr id="111" name="Frame111"/>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left"/>
              <w:rPr/>
            </w:pPr>
            <w:r>
              <w:rPr/>
              <w:t>​</w:t>
            </w:r>
          </w:p>
        </w:tc>
        <w:tc>
          <w:tcPr>
            <w:tcW w:w="106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2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23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16"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1"/>
              <w:ind w:left="0" w:right="0" w:hanging="0"/>
              <w:jc w:val="left"/>
              <w:rPr/>
            </w:pPr>
            <w:r>
              <w:rPr/>
              <w:t> </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53"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  ​</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Chemicals</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179.7</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145.3</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raw materials</w:t>
            </w:r>
          </w:p>
        </w:tc>
        <w:tc>
          <w:tcPr>
            <w:tcW w:w="346"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185.3</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150.6</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pPr>
            <w:r>
              <w:rPr/>
              <w:t>  ​</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Chemicals</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 </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47.0</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20.3</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in-process products</w:t>
            </w:r>
          </w:p>
        </w:tc>
        <w:tc>
          <w:tcPr>
            <w:tcW w:w="346"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67.3</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products: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pPr>
            <w:r>
              <w:rPr/>
              <w:t>  ​</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Chemicals</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 </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268.7</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225.7</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finished products</w:t>
            </w:r>
          </w:p>
        </w:tc>
        <w:tc>
          <w:tcPr>
            <w:tcW w:w="346"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273.6</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230.1</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Supplies (chemicals)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133.7</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132.1</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659.8</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580.1</w:t>
            </w:r>
          </w:p>
        </w:tc>
      </w:tr>
    </w:tbl>
    <w:p>
      <w:pPr>
        <w:pStyle w:val="TextBody"/>
        <w:bidi w:val="0"/>
        <w:spacing w:before="0" w:after="240"/>
        <w:ind w:left="0" w:right="0" w:firstLine="720"/>
        <w:jc w:val="both"/>
        <w:rPr/>
      </w:pPr>
      <w:r>
        <w:rPr/>
        <w:t>​</w:t>
      </w:r>
    </w:p>
    <w:p>
      <w:pPr>
        <w:pStyle w:val="TextBody"/>
        <w:bidi w:val="0"/>
        <w:spacing w:before="240" w:after="240"/>
        <w:ind w:left="0" w:right="0" w:hanging="0"/>
        <w:jc w:val="left"/>
        <w:rPr>
          <w:rFonts w:ascii="Times New Roman;Times;serif" w:hAnsi="Times New Roman;Times;serif"/>
          <w:b/>
          <w:sz w:val="20"/>
        </w:rPr>
      </w:pPr>
      <w:bookmarkStart w:id="700" w:name="Tc_vfOHoTteJEuHEeV5oQrY0A_13_9"/>
      <w:bookmarkStart w:id="701" w:name="Tc_pTtzRmtv5kuQ9CdYW23z7A_13_8"/>
      <w:bookmarkStart w:id="702" w:name="Tc_82gSB--pgEOWR-B0tRL0wA_13_5"/>
      <w:bookmarkStart w:id="703" w:name="Tc_1wxublxGA0KyRxBpDufQyg_13_2"/>
      <w:bookmarkStart w:id="704" w:name="Tc_JfLGiiVv9kinwz3mUj1pXw_13_0"/>
      <w:bookmarkStart w:id="705" w:name="Tc_WAXblXitSUGcQG4DDor99g_11_9"/>
      <w:bookmarkStart w:id="706" w:name="Tc_0CpRucdT0ECRjqgmMFrvOg_11_8"/>
      <w:bookmarkStart w:id="707" w:name="Tc_T6emKzOCQ0-7x00zkXnV2w_11_5"/>
      <w:bookmarkStart w:id="708" w:name="Tc_QSy_ASbX0kCsByiTwuFUlw_11_2"/>
      <w:bookmarkStart w:id="709" w:name="Tc_jnQGukx_v0K4hwekpNOw7Q_11_0"/>
      <w:bookmarkStart w:id="710" w:name="Tc_mehd2WDXAUieLJ9knTbPYw_10_0"/>
      <w:bookmarkStart w:id="711" w:name="Tc_J3yRAuBZYU6Sr4ElFOyBuQ_8_8"/>
      <w:bookmarkStart w:id="712" w:name="Tc_aAJMrf2-aEKlAeWQ-QOkUQ_8_5"/>
      <w:bookmarkStart w:id="713" w:name="Tc_tZge6vyklEK-HI-pQYkCBA_8_2"/>
      <w:bookmarkStart w:id="714" w:name="Tc_LtUAGtTNlk6e1uu3Mgr99A_8_0"/>
      <w:bookmarkStart w:id="715" w:name="Tc_F3ZaYkympECVSrKItqLR2g_6_9"/>
      <w:bookmarkStart w:id="716" w:name="Tc_-73QyUmcLUKFLQGxyarnLg_6_8"/>
      <w:bookmarkStart w:id="717" w:name="Tc_N-1PRh1LREexHWT4VkoP5A_6_5"/>
      <w:bookmarkStart w:id="718" w:name="Tc_1KxP7RFwkEWTYz3UBrci6Q_6_2"/>
      <w:bookmarkStart w:id="719" w:name="Tc_tOoyILW90ECV9ZmNm9pBJw_6_0"/>
      <w:bookmarkStart w:id="720" w:name="Tc_9s9wq3zJmEWPFFkd74reig_5_0"/>
      <w:bookmarkStart w:id="721" w:name="Tc_fY--0nmNzEC0kBtExg4J9A_4_2"/>
      <w:bookmarkStart w:id="722" w:name="Tc_t8JXyIaSc0i0sXOMtP7eBw_3_8"/>
      <w:bookmarkStart w:id="723" w:name="Tc_J9jl4hXrW06dJqwzFHm2kw_3_5"/>
      <w:bookmarkStart w:id="724" w:name="Tc_k_Uwk4WxI06PXnC18MqpiA_3_2"/>
      <w:bookmarkStart w:id="725" w:name="Tc_AA7d59qDu0K2k3lv-JxO2g_2_8"/>
      <w:bookmarkStart w:id="726" w:name="Tc_HH-CNJG0SEeiBf_mO0w2OA_2_5"/>
      <w:bookmarkStart w:id="727" w:name="Tc_ei9hClMqnEmt6_glIoS7jw_1_5"/>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r>
        <w:rPr>
          <w:rFonts w:ascii="Times New Roman;Times;serif" w:hAnsi="Times New Roman;Times;serif"/>
          <w:b/>
          <w:sz w:val="20"/>
        </w:rPr>
        <w:t>Note 5 – Marketable securities:</w:t>
      </w:r>
    </w:p>
    <w:p>
      <w:pPr>
        <w:pStyle w:val="TextBody"/>
        <w:bidi w:val="0"/>
        <w:spacing w:before="0" w:after="0"/>
        <w:ind w:left="0" w:right="0" w:hanging="0"/>
        <w:jc w:val="left"/>
        <w:rPr/>
      </w:pPr>
      <w:r>
        <w:rPr/>
        <w:t>​</w:t>
      </w:r>
    </w:p>
    <w:tbl>
      <w:tblPr>
        <w:tblW w:w="5542" w:type="dxa"/>
        <w:jc w:val="left"/>
        <w:tblInd w:w="0" w:type="dxa"/>
        <w:tblLayout w:type="fixed"/>
        <w:tblCellMar>
          <w:top w:w="0" w:type="dxa"/>
          <w:left w:w="0" w:type="dxa"/>
          <w:bottom w:w="0" w:type="dxa"/>
          <w:right w:w="0" w:type="dxa"/>
        </w:tblCellMar>
      </w:tblPr>
      <w:tblGrid>
        <w:gridCol w:w="1801"/>
        <w:gridCol w:w="146"/>
        <w:gridCol w:w="459"/>
        <w:gridCol w:w="787"/>
        <w:gridCol w:w="146"/>
        <w:gridCol w:w="360"/>
        <w:gridCol w:w="616"/>
        <w:gridCol w:w="146"/>
        <w:gridCol w:w="344"/>
        <w:gridCol w:w="737"/>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143635" cy="175260"/>
                      <wp:effectExtent l="0" t="0" r="0" b="0"/>
                      <wp:wrapNone/>
                      <wp:docPr id="112" name="Frame112"/>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92710" cy="175260"/>
                      <wp:effectExtent l="0" t="0" r="0" b="0"/>
                      <wp:wrapNone/>
                      <wp:docPr id="113" name="Frame11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91465" cy="175260"/>
                      <wp:effectExtent l="0" t="0" r="0" b="0"/>
                      <wp:wrapNone/>
                      <wp:docPr id="114" name="Frame114"/>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99745" cy="175260"/>
                      <wp:effectExtent l="0" t="0" r="0" b="0"/>
                      <wp:wrapNone/>
                      <wp:docPr id="115" name="Frame115"/>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92710" cy="175260"/>
                      <wp:effectExtent l="0" t="0" r="0" b="0"/>
                      <wp:wrapNone/>
                      <wp:docPr id="116" name="Frame11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28600" cy="175260"/>
                      <wp:effectExtent l="0" t="0" r="0" b="0"/>
                      <wp:wrapNone/>
                      <wp:docPr id="117" name="Frame1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91160" cy="175260"/>
                      <wp:effectExtent l="0" t="0" r="0" b="0"/>
                      <wp:wrapNone/>
                      <wp:docPr id="118" name="Frame11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92710" cy="175260"/>
                      <wp:effectExtent l="0" t="0" r="0" b="0"/>
                      <wp:wrapNone/>
                      <wp:docPr id="119" name="Frame11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8440" cy="175260"/>
                      <wp:effectExtent l="0" t="0" r="0" b="0"/>
                      <wp:wrapNone/>
                      <wp:docPr id="120" name="Frame120"/>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67995" cy="175260"/>
                      <wp:effectExtent l="0" t="0" r="0" b="0"/>
                      <wp:wrapNone/>
                      <wp:docPr id="121" name="Frame121"/>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color w:val="0563C1"/>
              </w:rPr>
            </w:pPr>
            <w:r>
              <w:rPr>
                <w:color w:val="0563C1"/>
              </w:rPr>
              <w:t>​</w:t>
            </w:r>
          </w:p>
        </w:tc>
        <w:tc>
          <w:tcPr>
            <w:tcW w:w="146" w:type="dxa"/>
            <w:tcBorders/>
            <w:vAlign w:val="center"/>
          </w:tcPr>
          <w:p>
            <w:pPr>
              <w:pStyle w:val="TableContents"/>
              <w:bidi w:val="0"/>
              <w:spacing w:before="0" w:after="1"/>
              <w:ind w:left="0" w:right="0" w:hanging="0"/>
              <w:jc w:val="left"/>
              <w:rPr/>
            </w:pPr>
            <w:r>
              <w:rPr/>
              <w:t>​</w:t>
            </w:r>
          </w:p>
        </w:tc>
        <w:tc>
          <w:tcPr>
            <w:tcW w:w="459"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Cost or</w:t>
            </w:r>
          </w:p>
        </w:tc>
        <w:tc>
          <w:tcPr>
            <w:tcW w:w="146"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left"/>
              <w:rPr/>
            </w:pPr>
            <w:r>
              <w:rPr/>
              <w:t>​</w:t>
            </w:r>
          </w:p>
        </w:tc>
      </w:tr>
      <w:tr>
        <w:trPr/>
        <w:tc>
          <w:tcPr>
            <w:tcW w:w="18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459"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amortized</w:t>
            </w:r>
          </w:p>
        </w:tc>
        <w:tc>
          <w:tcPr>
            <w:tcW w:w="1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Unrealized</w:t>
            </w:r>
          </w:p>
        </w:tc>
      </w:tr>
      <w:tr>
        <w:trPr/>
        <w:tc>
          <w:tcPr>
            <w:tcW w:w="18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Market value</w:t>
            </w:r>
          </w:p>
        </w:tc>
        <w:tc>
          <w:tcPr>
            <w:tcW w:w="146" w:type="dxa"/>
            <w:tcBorders/>
            <w:vAlign w:val="center"/>
          </w:tcPr>
          <w:p>
            <w:pPr>
              <w:pStyle w:val="TableContents"/>
              <w:bidi w:val="0"/>
              <w:spacing w:before="0" w:after="1"/>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cost</w:t>
            </w:r>
          </w:p>
        </w:tc>
        <w:tc>
          <w:tcPr>
            <w:tcW w:w="146" w:type="dxa"/>
            <w:tcBorders/>
            <w:vAlign w:val="center"/>
          </w:tcPr>
          <w:p>
            <w:pPr>
              <w:pStyle w:val="TableContents"/>
              <w:bidi w:val="0"/>
              <w:spacing w:before="0" w:after="1"/>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gain, net</w:t>
            </w:r>
          </w:p>
        </w:tc>
      </w:tr>
      <w:tr>
        <w:trPr/>
        <w:tc>
          <w:tcPr>
            <w:tcW w:w="554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3595" w:type="dxa"/>
            <w:gridSpan w:val="8"/>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146" w:type="dxa"/>
            <w:tcBorders/>
            <w:shd w:fill="CCEEFF" w:val="clear"/>
            <w:vAlign w:val="center"/>
          </w:tcPr>
          <w:p>
            <w:pPr>
              <w:pStyle w:val="TableContents"/>
              <w:bidi w:val="0"/>
              <w:spacing w:before="0" w:after="1"/>
              <w:ind w:left="0" w:right="0" w:hanging="0"/>
              <w:jc w:val="left"/>
              <w:rPr/>
            </w:pPr>
            <w:r>
              <w:rPr/>
              <w:t> </w:t>
            </w:r>
          </w:p>
        </w:tc>
        <w:tc>
          <w:tcPr>
            <w:tcW w:w="459"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360"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344"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  ​</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46" w:type="dxa"/>
            <w:tcBorders/>
            <w:vAlign w:val="center"/>
          </w:tcPr>
          <w:p>
            <w:pPr>
              <w:pStyle w:val="TableContents"/>
              <w:bidi w:val="0"/>
              <w:spacing w:before="0" w:after="1"/>
              <w:ind w:left="0" w:right="0" w:hanging="0"/>
              <w:jc w:val="left"/>
              <w:rPr/>
            </w:pPr>
            <w:r>
              <w:rPr/>
              <w:t>​</w:t>
            </w:r>
          </w:p>
        </w:tc>
        <w:tc>
          <w:tcPr>
            <w:tcW w:w="45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146" w:type="dxa"/>
            <w:tcBorders/>
            <w:vAlign w:val="center"/>
          </w:tcPr>
          <w:p>
            <w:pPr>
              <w:pStyle w:val="TableContents"/>
              <w:bidi w:val="0"/>
              <w:spacing w:before="0" w:after="1"/>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146" w:type="dxa"/>
            <w:tcBorders/>
            <w:vAlign w:val="center"/>
          </w:tcPr>
          <w:p>
            <w:pPr>
              <w:pStyle w:val="TableContents"/>
              <w:bidi w:val="0"/>
              <w:spacing w:before="0" w:after="1"/>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180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459"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left"/>
              <w:rPr/>
            </w:pPr>
            <w:r>
              <w:rPr/>
              <w:t>​</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146" w:type="dxa"/>
            <w:tcBorders/>
            <w:vAlign w:val="center"/>
          </w:tcPr>
          <w:p>
            <w:pPr>
              <w:pStyle w:val="TableContents"/>
              <w:bidi w:val="0"/>
              <w:spacing w:before="0" w:after="1"/>
              <w:ind w:left="0" w:right="0" w:hanging="0"/>
              <w:jc w:val="left"/>
              <w:rPr/>
            </w:pPr>
            <w:r>
              <w:rPr/>
              <w:t>​</w:t>
            </w:r>
          </w:p>
        </w:tc>
        <w:tc>
          <w:tcPr>
            <w:tcW w:w="45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146" w:type="dxa"/>
            <w:tcBorders/>
            <w:vAlign w:val="center"/>
          </w:tcPr>
          <w:p>
            <w:pPr>
              <w:pStyle w:val="TableContents"/>
              <w:bidi w:val="0"/>
              <w:spacing w:before="0" w:after="1"/>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146" w:type="dxa"/>
            <w:tcBorders/>
            <w:vAlign w:val="center"/>
          </w:tcPr>
          <w:p>
            <w:pPr>
              <w:pStyle w:val="TableContents"/>
              <w:bidi w:val="0"/>
              <w:spacing w:before="0" w:after="1"/>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80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459"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March 31, 2026</w:t>
            </w:r>
          </w:p>
        </w:tc>
        <w:tc>
          <w:tcPr>
            <w:tcW w:w="146" w:type="dxa"/>
            <w:tcBorders/>
            <w:vAlign w:val="center"/>
          </w:tcPr>
          <w:p>
            <w:pPr>
              <w:pStyle w:val="TableContents"/>
              <w:bidi w:val="0"/>
              <w:spacing w:before="0" w:after="1"/>
              <w:ind w:left="0" w:right="0" w:hanging="0"/>
              <w:jc w:val="left"/>
              <w:rPr/>
            </w:pPr>
            <w:r>
              <w:rPr/>
              <w:t>​</w:t>
            </w:r>
          </w:p>
        </w:tc>
        <w:tc>
          <w:tcPr>
            <w:tcW w:w="459" w:type="dxa"/>
            <w:tcBorders/>
            <w:vAlign w:val="center"/>
          </w:tcPr>
          <w:p>
            <w:pPr>
              <w:pStyle w:val="TableContents"/>
              <w:bidi w:val="0"/>
              <w:spacing w:before="0" w:after="1"/>
              <w:ind w:left="0" w:right="0" w:hanging="0"/>
              <w:jc w:val="left"/>
              <w:rPr/>
            </w:pPr>
            <w:r>
              <w:rPr/>
              <w:t> </w:t>
            </w:r>
          </w:p>
        </w:tc>
        <w:tc>
          <w:tcPr>
            <w:tcW w:w="787"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pPr>
            <w:r>
              <w:rPr/>
              <w:t> </w:t>
            </w:r>
          </w:p>
        </w:tc>
        <w:tc>
          <w:tcPr>
            <w:tcW w:w="737" w:type="dxa"/>
            <w:tcBorders/>
            <w:vAlign w:val="center"/>
          </w:tcPr>
          <w:p>
            <w:pPr>
              <w:pStyle w:val="TableContents"/>
              <w:bidi w:val="0"/>
              <w:spacing w:before="0" w:after="1"/>
              <w:ind w:left="0" w:right="0" w:hanging="0"/>
              <w:jc w:val="right"/>
              <w:rPr/>
            </w:pPr>
            <w:r>
              <w:rPr/>
              <w:t>  ​</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46" w:type="dxa"/>
            <w:tcBorders/>
            <w:shd w:fill="CCEEFF" w:val="clear"/>
            <w:vAlign w:val="center"/>
          </w:tcPr>
          <w:p>
            <w:pPr>
              <w:pStyle w:val="TableContents"/>
              <w:bidi w:val="0"/>
              <w:spacing w:before="0" w:after="1"/>
              <w:ind w:left="0" w:right="0" w:hanging="0"/>
              <w:jc w:val="left"/>
              <w:rPr/>
            </w:pPr>
            <w:r>
              <w:rPr/>
              <w:t>​</w:t>
            </w:r>
          </w:p>
        </w:tc>
        <w:tc>
          <w:tcPr>
            <w:tcW w:w="4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w:t>
            </w:r>
          </w:p>
        </w:tc>
        <w:tc>
          <w:tcPr>
            <w:tcW w:w="146" w:type="dxa"/>
            <w:tcBorders/>
            <w:shd w:fill="CCEEFF" w:val="clear"/>
            <w:vAlign w:val="center"/>
          </w:tcPr>
          <w:p>
            <w:pPr>
              <w:pStyle w:val="TableContents"/>
              <w:bidi w:val="0"/>
              <w:spacing w:before="0" w:after="1"/>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w:t>
            </w:r>
          </w:p>
        </w:tc>
        <w:tc>
          <w:tcPr>
            <w:tcW w:w="146" w:type="dxa"/>
            <w:tcBorders/>
            <w:shd w:fill="CCEEFF" w:val="clear"/>
            <w:vAlign w:val="center"/>
          </w:tcPr>
          <w:p>
            <w:pPr>
              <w:pStyle w:val="TableContents"/>
              <w:bidi w:val="0"/>
              <w:spacing w:before="0" w:after="1"/>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8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459"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left"/>
              <w:rPr/>
            </w:pPr>
            <w:r>
              <w:rPr/>
              <w:t>​</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146" w:type="dxa"/>
            <w:tcBorders/>
            <w:shd w:fill="CCEEFF" w:val="clear"/>
            <w:vAlign w:val="center"/>
          </w:tcPr>
          <w:p>
            <w:pPr>
              <w:pStyle w:val="TableContents"/>
              <w:bidi w:val="0"/>
              <w:spacing w:before="0" w:after="1"/>
              <w:ind w:left="0" w:right="0" w:hanging="0"/>
              <w:jc w:val="left"/>
              <w:rPr/>
            </w:pPr>
            <w:r>
              <w:rPr/>
              <w:t>​</w:t>
            </w:r>
          </w:p>
        </w:tc>
        <w:tc>
          <w:tcPr>
            <w:tcW w:w="4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w:t>
            </w:r>
          </w:p>
        </w:tc>
        <w:tc>
          <w:tcPr>
            <w:tcW w:w="146" w:type="dxa"/>
            <w:tcBorders/>
            <w:shd w:fill="CCEEFF" w:val="clear"/>
            <w:vAlign w:val="center"/>
          </w:tcPr>
          <w:p>
            <w:pPr>
              <w:pStyle w:val="TableContents"/>
              <w:bidi w:val="0"/>
              <w:spacing w:before="0" w:after="1"/>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w:t>
            </w:r>
          </w:p>
        </w:tc>
        <w:tc>
          <w:tcPr>
            <w:tcW w:w="146" w:type="dxa"/>
            <w:tcBorders/>
            <w:shd w:fill="CCEEFF" w:val="clear"/>
            <w:vAlign w:val="center"/>
          </w:tcPr>
          <w:p>
            <w:pPr>
              <w:pStyle w:val="TableContents"/>
              <w:bidi w:val="0"/>
              <w:spacing w:before="0" w:after="1"/>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123">
                <wp:simplePos x="0" y="0"/>
                <wp:positionH relativeFrom="page">
                  <wp:posOffset>0</wp:posOffset>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marketable securities consist of investments in marketable equity and debt securities. We classify all of our marketable securities as available-for-sale. Our marketable equity securities are carried at fair value using quoted market prices, primarily Level 1 inputs as defined by ASC Topic 820, </w:t>
      </w:r>
      <w:r>
        <w:rPr>
          <w:rFonts w:ascii="Times New Roman;Times;serif" w:hAnsi="Times New Roman;Times;serif"/>
          <w:i/>
          <w:sz w:val="20"/>
        </w:rPr>
        <w:t>Fair Value Measurements and Disclosures</w:t>
      </w:r>
      <w:r>
        <w:rPr>
          <w:rFonts w:ascii="Times New Roman;Times;serif" w:hAnsi="Times New Roman;Times;serif"/>
          <w:sz w:val="20"/>
        </w:rPr>
        <w:t>, with any unrealized gains or losses on the securities recognized in other income, net on our Condensed Consolidated Statements of Income. The fair value of our marketable debt securities is generally determined using Level 2 inputs because although these securities are traded in many cases, the market is not active and the quarter-end valuation is generally based on the last trade of the quarter, which may be several days prior to quarter end. We accumulate unrealized gains and losses on marketable debt securities as part of accumulated other comprehensive income (loss), net of related deferred income taxes. See Note 17.</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200" w:after="160"/>
        <w:ind w:left="0" w:right="0" w:hanging="0"/>
        <w:jc w:val="left"/>
        <w:rPr>
          <w:rFonts w:ascii="Times New Roman;Times;serif" w:hAnsi="Times New Roman;Times;serif"/>
          <w:b/>
          <w:sz w:val="20"/>
        </w:rPr>
      </w:pPr>
      <w:bookmarkStart w:id="728" w:name="Tc_fr_SSMIxNkimaE1ooIxiNg_11_5"/>
      <w:bookmarkStart w:id="729" w:name="Tc_J3X46fXZ5061KNTcLJrd0Q_11_2"/>
      <w:bookmarkStart w:id="730" w:name="Tc_CSG5mmLo-0--z1lLLEbAZQ_11_0"/>
      <w:bookmarkStart w:id="731" w:name="Tc__-Hzv12M-kufnlOfujldag_10_0"/>
      <w:bookmarkStart w:id="732" w:name="Tc_fF9z9-C1gU2mfloRjBUi4g_9_3"/>
      <w:bookmarkStart w:id="733" w:name="Tc_CtpIBYFir0-CSAGzglHhHg_9_0"/>
      <w:bookmarkStart w:id="734" w:name="Tc_Yeqz2gTThUSnwZIM59Ugkg_8_0"/>
      <w:bookmarkStart w:id="735" w:name="Tc_JCAef71UxEWuQtE-JYnxAg_7_0"/>
      <w:bookmarkStart w:id="736" w:name="Tc_wg0HNxux_ESfRE2Bb_k9yQ_6_0"/>
      <w:bookmarkStart w:id="737" w:name="Tc_h-UBs2641E-MP0OMk40vgw_5_0"/>
      <w:bookmarkStart w:id="738" w:name="Tc_sdrH0bE91ESUacz3AT7eMA_4_5"/>
      <w:bookmarkStart w:id="739" w:name="Tc_F98s008j_EaqetsUvdHQLQ_4_2"/>
      <w:bookmarkStart w:id="740" w:name="Tc_9D7CpkFPAkOSkDg-0NPIhw_4_0"/>
      <w:bookmarkStart w:id="741" w:name="Tc_NYJp24T41kuqoJO5PevjrA_3_2"/>
      <w:bookmarkStart w:id="742" w:name="Tc_FOr_HlcxWEm-5hi3SzVcqQ_2_5"/>
      <w:bookmarkStart w:id="743" w:name="Tc_LhPbBKwNwU2oAZKPRA1Bcw_2_2"/>
      <w:bookmarkStart w:id="744" w:name="Tc_CsPX2-HP4EKCU4luzrJnWg_1_5"/>
      <w:bookmarkStart w:id="745" w:name="Tc_i0S_BySF8ESoYBe3XLFS5w_1_2"/>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r>
        <w:rPr>
          <w:rFonts w:ascii="Times New Roman;Times;serif" w:hAnsi="Times New Roman;Times;serif"/>
          <w:b/>
          <w:sz w:val="20"/>
        </w:rPr>
        <w:t>Note 6 – Other noncurrent assets:</w:t>
      </w:r>
    </w:p>
    <w:p>
      <w:pPr>
        <w:pStyle w:val="TextBody"/>
        <w:bidi w:val="0"/>
        <w:spacing w:before="0" w:after="0"/>
        <w:ind w:left="0" w:right="0" w:hanging="0"/>
        <w:jc w:val="left"/>
        <w:rPr/>
      </w:pPr>
      <w:r>
        <w:rPr/>
        <w:t>​</w:t>
      </w:r>
    </w:p>
    <w:tbl>
      <w:tblPr>
        <w:tblW w:w="6153" w:type="dxa"/>
        <w:jc w:val="left"/>
        <w:tblInd w:w="0" w:type="dxa"/>
        <w:tblLayout w:type="fixed"/>
        <w:tblCellMar>
          <w:top w:w="0" w:type="dxa"/>
          <w:left w:w="0" w:type="dxa"/>
          <w:bottom w:w="0" w:type="dxa"/>
          <w:right w:w="0" w:type="dxa"/>
        </w:tblCellMar>
      </w:tblPr>
      <w:tblGrid>
        <w:gridCol w:w="3091"/>
        <w:gridCol w:w="346"/>
        <w:gridCol w:w="405"/>
        <w:gridCol w:w="900"/>
        <w:gridCol w:w="346"/>
        <w:gridCol w:w="287"/>
        <w:gridCol w:w="778"/>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962785" cy="175260"/>
                      <wp:effectExtent l="0" t="0" r="0" b="0"/>
                      <wp:wrapNone/>
                      <wp:docPr id="123" name="Frame123"/>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57175" cy="175260"/>
                      <wp:effectExtent l="0" t="0" r="0" b="0"/>
                      <wp:wrapNone/>
                      <wp:docPr id="125" name="Frame125"/>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71500" cy="175260"/>
                      <wp:effectExtent l="0" t="0" r="0" b="0"/>
                      <wp:wrapNone/>
                      <wp:docPr id="126" name="Frame126"/>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82245" cy="175260"/>
                      <wp:effectExtent l="0" t="0" r="0" b="0"/>
                      <wp:wrapNone/>
                      <wp:docPr id="128" name="Frame128"/>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94030" cy="175260"/>
                      <wp:effectExtent l="0" t="0" r="0" b="0"/>
                      <wp:wrapNone/>
                      <wp:docPr id="129" name="Frame129"/>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center"/>
              <w:rPr/>
            </w:pPr>
            <w:r>
              <w:rPr/>
              <w:t>  ​ ​ ​</w:t>
            </w:r>
          </w:p>
        </w:tc>
        <w:tc>
          <w:tcPr>
            <w:tcW w:w="106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15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16"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20.0</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IBNR receivables</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16.4</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Pension asset</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18.2</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Receivable from affiliate:</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Contran - income taxes</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26.0</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4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81.9</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7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88.6</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00"/>
        <w:ind w:left="0" w:right="0" w:hanging="0"/>
        <w:jc w:val="left"/>
        <w:rPr>
          <w:rFonts w:ascii="Times New Roman;Times;serif" w:hAnsi="Times New Roman;Times;serif"/>
          <w:b/>
          <w:sz w:val="20"/>
        </w:rPr>
      </w:pPr>
      <w:bookmarkStart w:id="746" w:name="Tc_u21AUjin7kiCU2tbfOnkFQ_16_5"/>
      <w:bookmarkStart w:id="747" w:name="Tc_JgmsozAlCkuUJp7Ot6RQ5A_16_2"/>
      <w:bookmarkStart w:id="748" w:name="Tc_Mov3g7wv5k2Qnmv6W_1JSg_16_0"/>
      <w:bookmarkStart w:id="749" w:name="Tc_v5lJ41RtkEG09sT7Lfc5wA_15_0"/>
      <w:bookmarkStart w:id="750" w:name="Tc_qBGeKP9_NU-qis5ielSIvw_14_0"/>
      <w:bookmarkStart w:id="751" w:name="Tc_zduoPBbo6EiyL_RimyoKWQ_13_0"/>
      <w:bookmarkStart w:id="752" w:name="Tc_ikx3qbcm2kqORRiV0NEDag_12_0"/>
      <w:bookmarkStart w:id="753" w:name="Tc_9r6Zgnnh4UKRF775EM_OKw_11_0"/>
      <w:bookmarkStart w:id="754" w:name="Tc_d0xGJ09GYE6CH8omy1H7LQ_10_3"/>
      <w:bookmarkStart w:id="755" w:name="Tc_IJwIiwEN9UC4FOTJbRQw5A_10_0"/>
      <w:bookmarkStart w:id="756" w:name="Tc_R2vkvkYyHEujQ710TmFS0w_9_0"/>
      <w:bookmarkStart w:id="757" w:name="Tc_Zb293uk7M0WrzSDNWuJXBg_8_0"/>
      <w:bookmarkStart w:id="758" w:name="Tc_kG3bdsksZ0iMGzF1IBfyFA_7_0"/>
      <w:bookmarkStart w:id="759" w:name="Tc_d9ZqVpn3yEGYf5vB1Fhhyw_6_0"/>
      <w:bookmarkStart w:id="760" w:name="Tc_bc6m5koQ0UWThV_bCPCljg_5_5"/>
      <w:bookmarkStart w:id="761" w:name="Tc_kkSlPxoWm028kKfU_74sFw_5_2"/>
      <w:bookmarkStart w:id="762" w:name="Tc_ctKlBvMbb0aVNTPwHZtaaA_5_0"/>
      <w:bookmarkStart w:id="763" w:name="Tc_b0ieXKgRv0yZ1LlLBVfhDQ_4_0"/>
      <w:bookmarkStart w:id="764" w:name="Tc_csG7H91rpEukOLfT28IL3g_3_2"/>
      <w:bookmarkStart w:id="765" w:name="Tc_MgOMY_PFHE-pru9cmPwk6w_2_5"/>
      <w:bookmarkStart w:id="766" w:name="Tc_tZFygDuI6UOUluQY5EY64g_2_2"/>
      <w:bookmarkStart w:id="767" w:name="Tc_m0LL75_C3EKL_Xccou-jvA_1_5"/>
      <w:bookmarkStart w:id="768" w:name="Tc_P_gckE1mHUWTrY8vAPxCAg_1_2"/>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r>
        <w:rPr>
          <w:rFonts w:ascii="Times New Roman;Times;serif" w:hAnsi="Times New Roman;Times;serif"/>
          <w:b/>
          <w:sz w:val="20"/>
        </w:rPr>
        <w:t>Note 7 – Long-term debt:</w:t>
      </w:r>
    </w:p>
    <w:p>
      <w:pPr>
        <w:pStyle w:val="TextBody"/>
        <w:bidi w:val="0"/>
        <w:spacing w:before="0" w:after="0"/>
        <w:ind w:left="0" w:right="0" w:hanging="0"/>
        <w:jc w:val="left"/>
        <w:rPr/>
      </w:pPr>
      <w:r>
        <w:rPr/>
        <w:t>​</w:t>
      </w:r>
    </w:p>
    <w:tbl>
      <w:tblPr>
        <w:tblW w:w="8403" w:type="dxa"/>
        <w:jc w:val="left"/>
        <w:tblInd w:w="0" w:type="dxa"/>
        <w:tblLayout w:type="fixed"/>
        <w:tblCellMar>
          <w:top w:w="0" w:type="dxa"/>
          <w:left w:w="0" w:type="dxa"/>
          <w:bottom w:w="0" w:type="dxa"/>
          <w:right w:w="0" w:type="dxa"/>
        </w:tblCellMar>
      </w:tblPr>
      <w:tblGrid>
        <w:gridCol w:w="5341"/>
        <w:gridCol w:w="346"/>
        <w:gridCol w:w="352"/>
        <w:gridCol w:w="953"/>
        <w:gridCol w:w="346"/>
        <w:gridCol w:w="253"/>
        <w:gridCol w:w="812"/>
      </w:tblGrid>
      <w:tr>
        <w:trPr/>
        <w:tc>
          <w:tcPr>
            <w:tcW w:w="5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391535" cy="175260"/>
                      <wp:effectExtent l="0" t="0" r="0" b="0"/>
                      <wp:wrapNone/>
                      <wp:docPr id="130" name="Frame130"/>
                      <a:graphic xmlns:a="http://schemas.openxmlformats.org/drawingml/2006/main">
                        <a:graphicData uri="http://schemas.microsoft.com/office/word/2010/wordprocessingShape">
                          <wps:wsp>
                            <wps:cNvSpPr txBox="1"/>
                            <wps:spPr>
                              <a:xfrm>
                                <a:off x="0" y="0"/>
                                <a:ext cx="3391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23520" cy="175260"/>
                      <wp:effectExtent l="0" t="0" r="0" b="0"/>
                      <wp:wrapNone/>
                      <wp:docPr id="132" name="Frame132"/>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05155" cy="175260"/>
                      <wp:effectExtent l="0" t="0" r="0" b="0"/>
                      <wp:wrapNone/>
                      <wp:docPr id="133" name="Frame133"/>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60655" cy="175260"/>
                      <wp:effectExtent l="0" t="0" r="0" b="0"/>
                      <wp:wrapNone/>
                      <wp:docPr id="135" name="Frame135"/>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15620" cy="175260"/>
                      <wp:effectExtent l="0" t="0" r="0" b="0"/>
                      <wp:wrapNone/>
                      <wp:docPr id="136" name="Frame136"/>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left"/>
              <w:rPr/>
            </w:pPr>
            <w:r>
              <w:rPr/>
              <w:t>​</w:t>
            </w:r>
          </w:p>
        </w:tc>
        <w:tc>
          <w:tcPr>
            <w:tcW w:w="106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5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840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16"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Valhi:</w:t>
            </w:r>
          </w:p>
        </w:tc>
        <w:tc>
          <w:tcPr>
            <w:tcW w:w="346" w:type="dxa"/>
            <w:tcBorders/>
            <w:shd w:fill="CCEEFF" w:val="clear"/>
            <w:vAlign w:val="center"/>
          </w:tcPr>
          <w:p>
            <w:pPr>
              <w:pStyle w:val="TableContents"/>
              <w:bidi w:val="0"/>
              <w:spacing w:before="0" w:after="1"/>
              <w:ind w:left="0" w:right="0" w:hanging="0"/>
              <w:jc w:val="left"/>
              <w:rPr/>
            </w:pPr>
            <w:r>
              <w:rPr/>
              <w:t> </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53"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  ​</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Contran credit facility</w:t>
            </w:r>
          </w:p>
        </w:tc>
        <w:tc>
          <w:tcPr>
            <w:tcW w:w="346"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Subsidiary debt:</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pPr>
            <w:r>
              <w:rPr/>
              <w:t>  ​</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Kronos:</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 </w:t>
            </w:r>
          </w:p>
        </w:tc>
        <w:tc>
          <w:tcPr>
            <w:tcW w:w="95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pPr>
            <w:r>
              <w:rPr/>
              <w:t>  ​</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Kronos International, Inc. 9.50% Senior Secured Notes due 2029</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503.7</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490.9</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Subordinated, Unsecured Term Loan from Contran</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53.7</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58.1</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LandWell:</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 </w:t>
            </w:r>
          </w:p>
        </w:tc>
        <w:tc>
          <w:tcPr>
            <w:tcW w:w="95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pPr>
            <w:r>
              <w:rPr/>
              <w:t>  ​</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payable to Western Alliance Business Trust</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10.7</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subsidiary debt</w:t>
            </w:r>
          </w:p>
        </w:tc>
        <w:tc>
          <w:tcPr>
            <w:tcW w:w="346"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568.1</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613.4</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591.7</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625.3</w:t>
            </w:r>
          </w:p>
        </w:tc>
      </w:tr>
      <w:tr>
        <w:trPr/>
        <w:tc>
          <w:tcPr>
            <w:tcW w:w="5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maturities</w:t>
            </w:r>
          </w:p>
        </w:tc>
        <w:tc>
          <w:tcPr>
            <w:tcW w:w="346"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5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590.9</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624.5</w:t>
            </w:r>
          </w:p>
        </w:tc>
      </w:tr>
    </w:tbl>
    <w:p>
      <w:pPr>
        <w:pStyle w:val="TextBody"/>
        <w:bidi w:val="0"/>
        <w:spacing w:before="0" w:after="0"/>
        <w:ind w:left="0" w:right="0" w:hanging="0"/>
        <w:jc w:val="left"/>
        <w:rPr/>
      </w:pPr>
      <w:r>
        <w:rPr/>
        <w:t>​</w:t>
      </w:r>
    </w:p>
    <w:p>
      <w:pPr>
        <w:pStyle w:val="TextBody"/>
        <w:bidi w:val="0"/>
        <w:spacing w:before="200" w:after="240"/>
        <w:ind w:left="0" w:right="0" w:firstLine="720"/>
        <w:jc w:val="both"/>
        <w:rPr>
          <w:rFonts w:ascii="Times New Roman;Times;serif" w:hAnsi="Times New Roman;Times;serif"/>
          <w:sz w:val="20"/>
        </w:rPr>
      </w:pPr>
      <w:r>
        <w:rPr>
          <w:rFonts w:ascii="Times New Roman;Times;serif" w:hAnsi="Times New Roman;Times;serif"/>
          <w:b/>
          <w:i/>
          <w:sz w:val="20"/>
        </w:rPr>
        <w:t>Valhi</w:t>
      </w:r>
      <w:r>
        <w:rPr>
          <w:rFonts w:ascii="Times New Roman;Times;serif" w:hAnsi="Times New Roman;Times;serif"/>
          <w:sz w:val="20"/>
        </w:rPr>
        <w:t xml:space="preserve"> – </w:t>
      </w:r>
      <w:r>
        <w:rPr>
          <w:rFonts w:ascii="Times New Roman;Times;serif" w:hAnsi="Times New Roman;Times;serif"/>
          <w:i/>
          <w:sz w:val="20"/>
        </w:rPr>
        <w:t>Contran credit facility</w:t>
      </w:r>
      <w:r>
        <w:rPr>
          <w:rFonts w:ascii="Times New Roman;Times;serif" w:hAnsi="Times New Roman;Times;serif"/>
          <w:sz w:val="20"/>
        </w:rPr>
        <w:t> – During the first three months of 2026, we had no borrowings and repaid $11.7 million under this facility. The average interest rate on the credit facility for the three months ended March 31, 2026 was 7.75%. At March 31, 2026, the interest rate was 7.75% and $113.1 million was available for borrowing under this facility.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Kronos </w:t>
      </w:r>
      <w:r>
        <w:rPr>
          <w:rFonts w:ascii="Times New Roman;Times;serif" w:hAnsi="Times New Roman;Times;serif"/>
          <w:sz w:val="20"/>
        </w:rPr>
        <w:t xml:space="preserve">– </w:t>
      </w:r>
      <w:r>
        <w:rPr>
          <w:rFonts w:ascii="Times New Roman;Times;serif" w:hAnsi="Times New Roman;Times;serif"/>
          <w:i/>
          <w:sz w:val="20"/>
        </w:rPr>
        <w:t>9.50%</w:t>
      </w:r>
      <w:r>
        <w:rPr>
          <w:rFonts w:ascii="Times New Roman;Times;serif" w:hAnsi="Times New Roman;Times;serif"/>
          <w:sz w:val="20"/>
        </w:rPr>
        <w:t> </w:t>
      </w:r>
      <w:r>
        <w:rPr>
          <w:rFonts w:ascii="Times New Roman;Times;serif" w:hAnsi="Times New Roman;Times;serif"/>
          <w:i/>
          <w:sz w:val="20"/>
        </w:rPr>
        <w:t>Senior Secured Notes due 2029</w:t>
      </w:r>
      <w:r>
        <w:rPr>
          <w:rFonts w:ascii="Times New Roman;Times;serif" w:hAnsi="Times New Roman;Times;serif"/>
          <w:sz w:val="20"/>
        </w:rPr>
        <w:t xml:space="preserve"> – At March 31, 2026, the carrying value of the 9.50% Senior Secured Notes due 2029 (€426.174 million aggregate principal amount outstanding) is stated net of $8.4 million of unamortized premium and $6.2 million of unamortized debt issuance costs (at December 31, 2025 the amounts were $9.0 million and $6.9 million,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Revolving credit facility (the “Global Revolver”) – </w:t>
      </w:r>
      <w:r>
        <w:rPr>
          <w:rFonts w:ascii="Times New Roman;Times;serif" w:hAnsi="Times New Roman;Times;serif"/>
          <w:sz w:val="20"/>
        </w:rPr>
        <w:t>During the first three months of 2026, Kronos borrowed $155.9 million and repaid $97.8 million under its $350 million Global Revolver. The average interest rate on outstanding borrowings under this facility during the three months ended March 31, 2026 was 4.5%. At March 31, 2026, the average interest rate on outstanding borrowings was 4.5% and Kronos has borrowing availability of approximately $287 million less any amounts outstanding under this facility.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Other</w:t>
      </w:r>
      <w:r>
        <w:rPr>
          <w:rFonts w:ascii="Times New Roman;Times;serif" w:hAnsi="Times New Roman;Times;serif"/>
          <w:sz w:val="20"/>
        </w:rPr>
        <w:t> – We are in compliance with all of our debt covenants at March 31, 2026.</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138">
                <wp:simplePos x="0" y="0"/>
                <wp:positionH relativeFrom="page">
                  <wp:posOffset>0</wp:posOffset>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both"/>
        <w:rPr>
          <w:rFonts w:ascii="Times New Roman;Times;serif" w:hAnsi="Times New Roman;Times;serif"/>
          <w:b/>
          <w:sz w:val="20"/>
        </w:rPr>
      </w:pPr>
      <w:bookmarkStart w:id="769" w:name="Tc_phTfLJFUz0OtzDBxiGNmXg_21_5"/>
      <w:bookmarkStart w:id="770" w:name="Tc_g_befCFNfEy23L84oxPFgg_21_2"/>
      <w:bookmarkStart w:id="771" w:name="Tc_HZeqSjvu3kCCCLjg3vQ7EA_21_0"/>
      <w:bookmarkStart w:id="772" w:name="Tc_WwCYkdFRhUCA2_Ieg7KP8A_20_0"/>
      <w:bookmarkStart w:id="773" w:name="Tc_tDvHieCstEKipn4mDPjZAw_19_0"/>
      <w:bookmarkStart w:id="774" w:name="Tc_bCPLuJ3sV0ydepiUGnwAHg_18_0"/>
      <w:bookmarkStart w:id="775" w:name="Tc_m9BVxQg0gUimKAxEOQTTZg_16_0"/>
      <w:bookmarkStart w:id="776" w:name="Tc_MEoSTdVR-0-PkIh21p9zVA_15_0"/>
      <w:bookmarkStart w:id="777" w:name="Tc_KZab8jNhCEi4D1OBWxikkg_14_0"/>
      <w:bookmarkStart w:id="778" w:name="Tc_9NO6YtaLE0i8jk35qI7nkg_13_0"/>
      <w:bookmarkStart w:id="779" w:name="Tc_ZxKamKir_0iNEdNOh7uqJA_12_0"/>
      <w:bookmarkStart w:id="780" w:name="Tc_HZ-hI9IHN0i6pEmT0mc6iw_11_0"/>
      <w:bookmarkStart w:id="781" w:name="Tc_JONjPZsWqk-V9EOTdyw3PQ_10_0"/>
      <w:bookmarkStart w:id="782" w:name="Tc_QLeEsOehxkqoz9hTwxSPGQ_9_0"/>
      <w:bookmarkStart w:id="783" w:name="Tc_PzB68XPGt0Wg5yPIkSBHcg_8_0"/>
      <w:bookmarkStart w:id="784" w:name="Tc_79aEyGGlXE6YR5lPozWh5A_7_0"/>
      <w:bookmarkStart w:id="785" w:name="Tc_ohz-yhlIqUCg6SX2fHQlsA_6_0"/>
      <w:bookmarkStart w:id="786" w:name="Tc_1gL0gdiAOk6hkkwFgj6GCA_5_5"/>
      <w:bookmarkStart w:id="787" w:name="Tc_kFvNMMOMhE6D8Qs29yfB2g_5_2"/>
      <w:bookmarkStart w:id="788" w:name="Tc_xPxPR6Kqx0qJqyie1ihvAw_5_0"/>
      <w:bookmarkStart w:id="789" w:name="Tc_oGawNow4bECp-uTAlw4AAw_4_0"/>
      <w:bookmarkStart w:id="790" w:name="Tc_JoRT_KhDWUqLnUJt5IaD3Q_3_2"/>
      <w:bookmarkStart w:id="791" w:name="Tc_NsFxAzL020muID9s3uCymw_2_5"/>
      <w:bookmarkStart w:id="792" w:name="Tc_UwpbEHgxT0-1Vn02gcgwXg_2_2"/>
      <w:bookmarkStart w:id="793" w:name="Tc_8VVPeY9AhECRTzrw1L23zQ_1_5"/>
      <w:bookmarkStart w:id="794" w:name="Tc_5TOC0_QSjEOkhVKzDACP9A_1_2"/>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r>
        <w:rPr>
          <w:rFonts w:ascii="Times New Roman;Times;serif" w:hAnsi="Times New Roman;Times;serif"/>
          <w:b/>
          <w:sz w:val="20"/>
        </w:rPr>
        <w:t>Note 8 – Accounts payable and accrued liabilities:</w:t>
      </w:r>
    </w:p>
    <w:p>
      <w:pPr>
        <w:pStyle w:val="TextBody"/>
        <w:bidi w:val="0"/>
        <w:spacing w:before="0" w:after="0"/>
        <w:ind w:left="0" w:right="0" w:hanging="0"/>
        <w:jc w:val="left"/>
        <w:rPr/>
      </w:pPr>
      <w:r>
        <w:rPr/>
        <w:t>​</w:t>
      </w:r>
    </w:p>
    <w:tbl>
      <w:tblPr>
        <w:tblW w:w="7068" w:type="dxa"/>
        <w:jc w:val="left"/>
        <w:tblInd w:w="0" w:type="dxa"/>
        <w:tblLayout w:type="fixed"/>
        <w:tblCellMar>
          <w:top w:w="0" w:type="dxa"/>
          <w:left w:w="0" w:type="dxa"/>
          <w:bottom w:w="0" w:type="dxa"/>
          <w:right w:w="0" w:type="dxa"/>
        </w:tblCellMar>
      </w:tblPr>
      <w:tblGrid>
        <w:gridCol w:w="4006"/>
        <w:gridCol w:w="346"/>
        <w:gridCol w:w="352"/>
        <w:gridCol w:w="953"/>
        <w:gridCol w:w="346"/>
        <w:gridCol w:w="253"/>
        <w:gridCol w:w="812"/>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543810" cy="175260"/>
                      <wp:effectExtent l="0" t="0" r="0" b="0"/>
                      <wp:wrapNone/>
                      <wp:docPr id="138" name="Frame138"/>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23520" cy="175260"/>
                      <wp:effectExtent l="0" t="0" r="0" b="0"/>
                      <wp:wrapNone/>
                      <wp:docPr id="140" name="Frame140"/>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05155" cy="175260"/>
                      <wp:effectExtent l="0" t="0" r="0" b="0"/>
                      <wp:wrapNone/>
                      <wp:docPr id="141" name="Frame141"/>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60655" cy="175260"/>
                      <wp:effectExtent l="0" t="0" r="0" b="0"/>
                      <wp:wrapNone/>
                      <wp:docPr id="143" name="Frame143"/>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15620" cy="175260"/>
                      <wp:effectExtent l="0" t="0" r="0" b="0"/>
                      <wp:wrapNone/>
                      <wp:docPr id="144" name="Frame144"/>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left"/>
              <w:rPr/>
            </w:pPr>
            <w:r>
              <w:rPr/>
              <w:t>​</w:t>
            </w:r>
          </w:p>
        </w:tc>
        <w:tc>
          <w:tcPr>
            <w:tcW w:w="106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706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16"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1"/>
              <w:ind w:left="0" w:right="0" w:hanging="0"/>
              <w:jc w:val="left"/>
              <w:rPr/>
            </w:pPr>
            <w:r>
              <w:rPr/>
              <w:t> </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53"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  ​</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Kronos</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224.0</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201.3</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CompX</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BMI/LandWell</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 </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Distributions payable to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231.3</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209.4</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Payables to affiliates: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Contran - other</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28.4</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27.1</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development costs</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23.9</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sales discounts and rebates</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severance cost</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 </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environmental</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 </w:t>
            </w:r>
          </w:p>
        </w:tc>
        <w:tc>
          <w:tcPr>
            <w:tcW w:w="9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w:t>
            </w:r>
          </w:p>
        </w:tc>
      </w:tr>
      <w:tr>
        <w:trPr/>
        <w:tc>
          <w:tcPr>
            <w:tcW w:w="40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55.2</w:t>
            </w:r>
          </w:p>
        </w:tc>
      </w:tr>
      <w:tr>
        <w:trPr/>
        <w:tc>
          <w:tcPr>
            <w:tcW w:w="40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434.1</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370.1</w:t>
            </w:r>
          </w:p>
        </w:tc>
      </w:tr>
    </w:tbl>
    <w:p>
      <w:pPr>
        <w:pStyle w:val="TextBody"/>
        <w:bidi w:val="0"/>
        <w:spacing w:before="0" w:after="240"/>
        <w:ind w:left="0" w:right="0" w:firstLine="720"/>
        <w:jc w:val="both"/>
        <w:rPr/>
      </w:pPr>
      <w:r>
        <w:rPr/>
        <w:t>​</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See Note 18 for additional information related to accrued severance costs.</w:t>
      </w:r>
    </w:p>
    <w:p>
      <w:pPr>
        <w:pStyle w:val="TextBody"/>
        <w:bidi w:val="0"/>
        <w:spacing w:before="0" w:after="240"/>
        <w:ind w:left="0" w:right="0" w:firstLine="720"/>
        <w:jc w:val="both"/>
        <w:rPr/>
      </w:pPr>
      <w:r>
        <w:rPr/>
        <w:t>​</w:t>
      </w:r>
    </w:p>
    <w:p>
      <w:pPr>
        <w:pStyle w:val="TextBody"/>
        <w:bidi w:val="0"/>
        <w:spacing w:before="240" w:after="240"/>
        <w:ind w:left="0" w:right="0" w:hanging="0"/>
        <w:jc w:val="left"/>
        <w:rPr>
          <w:rFonts w:ascii="Times New Roman;Times;serif" w:hAnsi="Times New Roman;Times;serif"/>
          <w:b/>
          <w:sz w:val="20"/>
        </w:rPr>
      </w:pPr>
      <w:bookmarkStart w:id="795" w:name="Tc_DEn0pSpY20-WMQhiuVIN5g_12_5"/>
      <w:bookmarkStart w:id="796" w:name="Tc_xu0qH0_eqUu_4CRPG9Y9hg_12_2"/>
      <w:bookmarkStart w:id="797" w:name="Tc_jf8ORjjXSEWDegVy5U5JfQ_12_0"/>
      <w:bookmarkStart w:id="798" w:name="Tc_LAz3RafJHkazUS1QngRszA_11_0"/>
      <w:bookmarkStart w:id="799" w:name="Tc_p74jmF5LWkuXYZCq8G_rng_10_0"/>
      <w:bookmarkStart w:id="800" w:name="Tc_OYnBBUrS9E288qsa237O2Q_9_0"/>
      <w:bookmarkStart w:id="801" w:name="Tc_YrAsIY9OB06pVjEvT1VUfA_8_0"/>
      <w:bookmarkStart w:id="802" w:name="Tc_k61iPAQX9kaLJhf__d8W0g_6_0"/>
      <w:bookmarkStart w:id="803" w:name="Tc_qaEA4JU8qEOa8WlNIMC1gA_5_0"/>
      <w:bookmarkStart w:id="804" w:name="Tc_31Ns5HvWmEyv4IvGY2HCoA_4_5"/>
      <w:bookmarkStart w:id="805" w:name="Tc_-qVoAePkWUeCzLeUO5rG2A_4_2"/>
      <w:bookmarkStart w:id="806" w:name="Tc_eptCcTb-lEWpl3oK-amoAA_4_0"/>
      <w:bookmarkStart w:id="807" w:name="Tc_BYj5icPznkql1lbSbuBF1w_3_2"/>
      <w:bookmarkStart w:id="808" w:name="Tc_H1ZlxTswHEeZiMDmIB2oSw_2_5"/>
      <w:bookmarkStart w:id="809" w:name="Tc_Tv46Xv3za0-Sdl49NxsKVg_2_2"/>
      <w:bookmarkStart w:id="810" w:name="Tc_V6NwalO48UGVRzPBfEZwnA_1_5"/>
      <w:bookmarkStart w:id="811" w:name="Tc_8V8n7iUn_Uav0UGUw3oeFA_1_2"/>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r>
        <w:rPr>
          <w:rFonts w:ascii="Times New Roman;Times;serif" w:hAnsi="Times New Roman;Times;serif"/>
          <w:b/>
          <w:sz w:val="20"/>
        </w:rPr>
        <w:t>Note 9 – Other noncurrent liabilities:</w:t>
      </w:r>
    </w:p>
    <w:p>
      <w:pPr>
        <w:pStyle w:val="TextBody"/>
        <w:bidi w:val="0"/>
        <w:spacing w:before="0" w:after="0"/>
        <w:ind w:left="0" w:right="0" w:hanging="0"/>
        <w:jc w:val="left"/>
        <w:rPr/>
      </w:pPr>
      <w:r>
        <w:rPr/>
        <w:t>​</w:t>
      </w:r>
    </w:p>
    <w:tbl>
      <w:tblPr>
        <w:tblW w:w="5658" w:type="dxa"/>
        <w:jc w:val="left"/>
        <w:tblInd w:w="0" w:type="dxa"/>
        <w:tblLayout w:type="fixed"/>
        <w:tblCellMar>
          <w:top w:w="0" w:type="dxa"/>
          <w:left w:w="0" w:type="dxa"/>
          <w:bottom w:w="0" w:type="dxa"/>
          <w:right w:w="0" w:type="dxa"/>
        </w:tblCellMar>
      </w:tblPr>
      <w:tblGrid>
        <w:gridCol w:w="2596"/>
        <w:gridCol w:w="346"/>
        <w:gridCol w:w="405"/>
        <w:gridCol w:w="900"/>
        <w:gridCol w:w="346"/>
        <w:gridCol w:w="287"/>
        <w:gridCol w:w="778"/>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648460" cy="175260"/>
                      <wp:effectExtent l="0" t="0" r="0" b="0"/>
                      <wp:wrapNone/>
                      <wp:docPr id="145" name="Frame145"/>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57175" cy="175260"/>
                      <wp:effectExtent l="0" t="0" r="0" b="0"/>
                      <wp:wrapNone/>
                      <wp:docPr id="147" name="Frame147"/>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71500" cy="175260"/>
                      <wp:effectExtent l="0" t="0" r="0" b="0"/>
                      <wp:wrapNone/>
                      <wp:docPr id="148" name="Frame148"/>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82245" cy="175260"/>
                      <wp:effectExtent l="0" t="0" r="0" b="0"/>
                      <wp:wrapNone/>
                      <wp:docPr id="150" name="Frame150"/>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94030" cy="175260"/>
                      <wp:effectExtent l="0" t="0" r="0" b="0"/>
                      <wp:wrapNone/>
                      <wp:docPr id="151" name="Frame151"/>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center"/>
              <w:rPr/>
            </w:pPr>
            <w:r>
              <w:rPr/>
              <w:t>  ​ ​ ​</w:t>
            </w:r>
          </w:p>
        </w:tc>
        <w:tc>
          <w:tcPr>
            <w:tcW w:w="106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65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16"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development costs</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retirement obligations</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14.7</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 claims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17.8</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postretirement benefits</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81.6</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153">
                <wp:simplePos x="0" y="0"/>
                <wp:positionH relativeFrom="page">
                  <wp:posOffset>0</wp:posOffset>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b/>
          <w:sz w:val="20"/>
        </w:rPr>
      </w:pPr>
      <w:bookmarkStart w:id="812" w:name="Tc_m8COYHeOGE2emVef19pxWw_8_5"/>
      <w:bookmarkStart w:id="813" w:name="Tc_6t_AHiKiwUeBpgAX1ALjAw_8_2"/>
      <w:bookmarkStart w:id="814" w:name="Tc_gHNQyNMrykeoNSA2qlGOFA_8_0"/>
      <w:bookmarkStart w:id="815" w:name="Tc_2AVdB75ozEK7XccveGqe5w_7_0"/>
      <w:bookmarkStart w:id="816" w:name="Tc_RWR3L_Eevk6Osv2AS8qffg_6_5"/>
      <w:bookmarkStart w:id="817" w:name="Tc_KxAD-6TFxUezLsAqK9RT-w_6_2"/>
      <w:bookmarkStart w:id="818" w:name="Tc_3dz-poDJMUqEs85cMUBOiQ_6_0"/>
      <w:bookmarkStart w:id="819" w:name="Tc_BDXmBqrwt0K5vf_EH46S7w_5_0"/>
      <w:bookmarkStart w:id="820" w:name="Tc_hYjKgi0t_0uRPysxscTDJw_4_2"/>
      <w:bookmarkStart w:id="821" w:name="Tc_-MDUNkEGTUGDzXi3k3_K6A_3_5"/>
      <w:bookmarkStart w:id="822" w:name="Tc_LjWjEp0xfkGlmZMsilrXKg_3_2"/>
      <w:bookmarkStart w:id="823" w:name="Tc_5aPR-rQc4EObShsAeY73bw_2_2"/>
      <w:bookmarkStart w:id="824" w:name="Tc_40wKoirxLU-PomB2mK--VA_1_2"/>
      <w:bookmarkStart w:id="825" w:name="Tc_wlwYcQ3ZzkS_caLHbwqNsQ_18_5"/>
      <w:bookmarkStart w:id="826" w:name="Tc_BqUYDeMUR0uIwftXhpzb7g_18_2"/>
      <w:bookmarkStart w:id="827" w:name="Tc_VeGfiV1wEUeDBqkUNDVZGg_18_0"/>
      <w:bookmarkStart w:id="828" w:name="Tc_J8TC1q6WZ0mFu9U_g77RLA_17_0"/>
      <w:bookmarkStart w:id="829" w:name="Tc_LPtLaWaui0SuAqZVKeo0gw_16_0"/>
      <w:bookmarkStart w:id="830" w:name="Tc_GMmoz5gFwkedb6_2IXg9Gg_15_5"/>
      <w:bookmarkStart w:id="831" w:name="Tc_4Qw8dtarUUaaVQPZM07O-g_15_2"/>
      <w:bookmarkStart w:id="832" w:name="Tc_aFkl5IJM8kWb9sEIUn07dw_15_0"/>
      <w:bookmarkStart w:id="833" w:name="Tc_EfSfAhpEcEeqYgku7lfdeQ_14_0"/>
      <w:bookmarkStart w:id="834" w:name="Tc__GSyTRerZEqSt0HfJUgSwA_12_5"/>
      <w:bookmarkStart w:id="835" w:name="Tc_XMEiivxSPkychLoWigzZoA_12_2"/>
      <w:bookmarkStart w:id="836" w:name="Tc_wgrJn9rNXUe1Jf6RKM-z4Q_12_0"/>
      <w:bookmarkStart w:id="837" w:name="Tc_-YXMMNBl4ECEL19jr6bcLQ_11_0"/>
      <w:bookmarkStart w:id="838" w:name="Tc_gTVTrKZcoE6HlUxfp8cSSA_10_0"/>
      <w:bookmarkStart w:id="839" w:name="Tc_0Sh75WRIfESspDEWPgRRJw_9_0"/>
      <w:bookmarkStart w:id="840" w:name="Tc_rjxROX1wpkGVAW9lBAxTqA_8_0"/>
      <w:bookmarkStart w:id="841" w:name="Tc_9Z3X8_pmHkqfaZgv-Us7eA_7_0"/>
      <w:bookmarkStart w:id="842" w:name="Tc_PhFvbCAH5ki94G0y_gkYRQ_6_5"/>
      <w:bookmarkStart w:id="843" w:name="Tc_XsOD_Ec9BkmEwUSLe41sVg_6_2"/>
      <w:bookmarkStart w:id="844" w:name="Tc_Qhf8LhEnkkyBhxALFqL4dw_6_0"/>
      <w:bookmarkStart w:id="845" w:name="Tc_K_0y1VR2Rkq7hZIYlS95Xw_5_0"/>
      <w:bookmarkStart w:id="846" w:name="Tc_-QB3X-cBcUevKe87UpmRwg_4_2"/>
      <w:bookmarkStart w:id="847" w:name="Tc_QdHjw-4fWkyjyxSaf_eVhQ_3_5"/>
      <w:bookmarkStart w:id="848" w:name="Tc_P05x4CLPiUioO0Ft42know_3_2"/>
      <w:bookmarkStart w:id="849" w:name="Tc_qGWGJeHUnUu6pap7Dtlnkg_2_2"/>
      <w:bookmarkStart w:id="850" w:name="Tc_i9rGhHVjH0qMNHHvdCwXMw_1_2"/>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r>
        <w:rPr>
          <w:rFonts w:ascii="Times New Roman;Times;serif" w:hAnsi="Times New Roman;Times;serif"/>
          <w:b/>
          <w:sz w:val="20"/>
        </w:rPr>
        <w:t>Note 10 – Revenue – disaggregation of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disaggregates the net sales of our Chemicals Segment by place of manufacture (point of origin) and to the location of the customer (point of destination), which are the categories that depict how the nature, amount, timing and uncertainty of revenue and cash flows are affected by economic factors.</w:t>
      </w:r>
    </w:p>
    <w:p>
      <w:pPr>
        <w:pStyle w:val="TextBody"/>
        <w:bidi w:val="0"/>
        <w:spacing w:before="0" w:after="0"/>
        <w:ind w:left="0" w:right="0" w:hanging="0"/>
        <w:jc w:val="left"/>
        <w:rPr/>
      </w:pPr>
      <w:r>
        <w:rPr/>
        <w:t>​</w:t>
      </w:r>
    </w:p>
    <w:tbl>
      <w:tblPr>
        <w:tblW w:w="5077" w:type="dxa"/>
        <w:jc w:val="left"/>
        <w:tblInd w:w="0" w:type="dxa"/>
        <w:tblLayout w:type="fixed"/>
        <w:tblCellMar>
          <w:top w:w="0" w:type="dxa"/>
          <w:left w:w="0" w:type="dxa"/>
          <w:bottom w:w="0" w:type="dxa"/>
          <w:right w:w="0" w:type="dxa"/>
        </w:tblCellMar>
      </w:tblPr>
      <w:tblGrid>
        <w:gridCol w:w="2656"/>
        <w:gridCol w:w="286"/>
        <w:gridCol w:w="211"/>
        <w:gridCol w:w="691"/>
        <w:gridCol w:w="286"/>
        <w:gridCol w:w="211"/>
        <w:gridCol w:w="73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686560" cy="175260"/>
                      <wp:effectExtent l="0" t="0" r="0" b="0"/>
                      <wp:wrapNone/>
                      <wp:docPr id="153" name="Frame153"/>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81610" cy="175260"/>
                      <wp:effectExtent l="0" t="0" r="0" b="0"/>
                      <wp:wrapNone/>
                      <wp:docPr id="154" name="Frame15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38785" cy="175260"/>
                      <wp:effectExtent l="0" t="0" r="0" b="0"/>
                      <wp:wrapNone/>
                      <wp:docPr id="156" name="Frame15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81610" cy="175260"/>
                      <wp:effectExtent l="0" t="0" r="0" b="0"/>
                      <wp:wrapNone/>
                      <wp:docPr id="157" name="Frame15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67360" cy="175260"/>
                      <wp:effectExtent l="0" t="0" r="0" b="0"/>
                      <wp:wrapNone/>
                      <wp:docPr id="159" name="Frame15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265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265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86" w:type="dxa"/>
            <w:tcBorders/>
            <w:vAlign w:val="center"/>
          </w:tcPr>
          <w:p>
            <w:pPr>
              <w:pStyle w:val="TableContents"/>
              <w:bidi w:val="0"/>
              <w:spacing w:before="0" w:after="1"/>
              <w:ind w:left="0" w:right="0" w:hanging="0"/>
              <w:jc w:val="center"/>
              <w:rPr/>
            </w:pPr>
            <w:r>
              <w:rPr/>
              <w:t>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07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65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 - point of origin:</w:t>
            </w:r>
          </w:p>
        </w:tc>
        <w:tc>
          <w:tcPr>
            <w:tcW w:w="28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322.4</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357.7</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Germany</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216.8</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226.6</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Canada</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87.9</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Norway</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66.1</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Belgium</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64.2</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Eliminations</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(296.4)</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(292.7)</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28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489.8</w:t>
            </w:r>
          </w:p>
        </w:tc>
        <w:tc>
          <w:tcPr>
            <w:tcW w:w="28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509.8</w:t>
            </w:r>
          </w:p>
        </w:tc>
      </w:tr>
      <w:tr>
        <w:trPr/>
        <w:tc>
          <w:tcPr>
            <w:tcW w:w="265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 - point of destination:</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Europe</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228.5</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243.1</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North America</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190.2</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186.2</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80.5</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28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489.8</w:t>
            </w:r>
          </w:p>
        </w:tc>
        <w:tc>
          <w:tcPr>
            <w:tcW w:w="28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509.8</w:t>
            </w:r>
          </w:p>
        </w:tc>
      </w:tr>
    </w:tbl>
    <w:p>
      <w:pPr>
        <w:pStyle w:val="TextBody"/>
        <w:bidi w:val="0"/>
        <w:spacing w:before="0" w:after="0"/>
        <w:ind w:left="0" w:right="0" w:hanging="0"/>
        <w:jc w:val="left"/>
        <w:rPr/>
      </w:pPr>
      <w:r>
        <w:rPr/>
        <w:t>​</w:t>
      </w:r>
    </w:p>
    <w:p>
      <w:pPr>
        <w:pStyle w:val="TextBody"/>
        <w:bidi w:val="0"/>
        <w:spacing w:before="200" w:after="240"/>
        <w:ind w:left="0" w:right="0" w:firstLine="720"/>
        <w:jc w:val="both"/>
        <w:rPr>
          <w:rFonts w:ascii="Times New Roman;Times;serif" w:hAnsi="Times New Roman;Times;serif"/>
          <w:sz w:val="20"/>
        </w:rPr>
      </w:pPr>
      <w:r>
        <w:rPr>
          <w:rFonts w:ascii="Times New Roman;Times;serif" w:hAnsi="Times New Roman;Times;serif"/>
          <w:sz w:val="20"/>
        </w:rPr>
        <w:t>The following table disaggregates the net sales of our Component Products Segment by major product line.</w:t>
      </w:r>
    </w:p>
    <w:p>
      <w:pPr>
        <w:pStyle w:val="TextBody"/>
        <w:bidi w:val="0"/>
        <w:spacing w:before="0" w:after="0"/>
        <w:ind w:left="0" w:right="0" w:hanging="0"/>
        <w:jc w:val="left"/>
        <w:rPr/>
      </w:pPr>
      <w:r>
        <w:rPr/>
        <w:t>​</w:t>
      </w:r>
    </w:p>
    <w:tbl>
      <w:tblPr>
        <w:tblW w:w="3990" w:type="dxa"/>
        <w:jc w:val="left"/>
        <w:tblInd w:w="0" w:type="dxa"/>
        <w:tblLayout w:type="fixed"/>
        <w:tblCellMar>
          <w:top w:w="0" w:type="dxa"/>
          <w:left w:w="0" w:type="dxa"/>
          <w:bottom w:w="0" w:type="dxa"/>
          <w:right w:w="0" w:type="dxa"/>
        </w:tblCellMar>
      </w:tblPr>
      <w:tblGrid>
        <w:gridCol w:w="1741"/>
        <w:gridCol w:w="346"/>
        <w:gridCol w:w="222"/>
        <w:gridCol w:w="492"/>
        <w:gridCol w:w="365"/>
        <w:gridCol w:w="222"/>
        <w:gridCol w:w="602"/>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105535" cy="175260"/>
                      <wp:effectExtent l="0" t="0" r="0" b="0"/>
                      <wp:wrapNone/>
                      <wp:docPr id="160" name="Frame160"/>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40970" cy="175260"/>
                      <wp:effectExtent l="0" t="0" r="0" b="0"/>
                      <wp:wrapNone/>
                      <wp:docPr id="162" name="Frame162"/>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12420" cy="175260"/>
                      <wp:effectExtent l="0" t="0" r="0" b="0"/>
                      <wp:wrapNone/>
                      <wp:docPr id="163" name="Frame163"/>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31775" cy="175260"/>
                      <wp:effectExtent l="0" t="0" r="0" b="0"/>
                      <wp:wrapNone/>
                      <wp:docPr id="164" name="Frame164"/>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40970" cy="175260"/>
                      <wp:effectExtent l="0" t="0" r="0" b="0"/>
                      <wp:wrapNone/>
                      <wp:docPr id="165" name="Frame165"/>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82270" cy="175260"/>
                      <wp:effectExtent l="0" t="0" r="0" b="0"/>
                      <wp:wrapNone/>
                      <wp:docPr id="166" name="Frame166"/>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03"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5" w:type="dxa"/>
            <w:tcBorders/>
            <w:vAlign w:val="center"/>
          </w:tcPr>
          <w:p>
            <w:pPr>
              <w:pStyle w:val="TableContents"/>
              <w:bidi w:val="0"/>
              <w:spacing w:before="0" w:after="1"/>
              <w:ind w:left="0" w:right="0" w:hanging="0"/>
              <w:jc w:val="center"/>
              <w:rPr/>
            </w:pPr>
            <w:r>
              <w:rPr/>
              <w:t>  ​ ​ ​</w:t>
            </w:r>
          </w:p>
        </w:tc>
        <w:tc>
          <w:tcPr>
            <w:tcW w:w="8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399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03"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 </w:t>
            </w:r>
          </w:p>
        </w:tc>
        <w:tc>
          <w:tcPr>
            <w:tcW w:w="222" w:type="dxa"/>
            <w:tcBorders/>
            <w:shd w:fill="CCEEFF" w:val="clear"/>
            <w:vAlign w:val="center"/>
          </w:tcPr>
          <w:p>
            <w:pPr>
              <w:pStyle w:val="TableContents"/>
              <w:bidi w:val="0"/>
              <w:spacing w:before="0" w:after="1"/>
              <w:ind w:left="0" w:right="0" w:hanging="0"/>
              <w:jc w:val="left"/>
              <w:rPr/>
            </w:pPr>
            <w:r>
              <w:rPr/>
              <w:t>​</w:t>
            </w:r>
          </w:p>
        </w:tc>
        <w:tc>
          <w:tcPr>
            <w:tcW w:w="492" w:type="dxa"/>
            <w:tcBorders/>
            <w:shd w:fill="CCEEFF" w:val="clear"/>
            <w:vAlign w:val="center"/>
          </w:tcPr>
          <w:p>
            <w:pPr>
              <w:pStyle w:val="TableContents"/>
              <w:bidi w:val="0"/>
              <w:spacing w:before="0" w:after="1"/>
              <w:ind w:left="0" w:right="0" w:hanging="0"/>
              <w:jc w:val="right"/>
              <w:rPr/>
            </w:pPr>
            <w:r>
              <w:rPr/>
              <w:t>  ​</w:t>
            </w:r>
          </w:p>
        </w:tc>
        <w:tc>
          <w:tcPr>
            <w:tcW w:w="365" w:type="dxa"/>
            <w:tcBorders/>
            <w:shd w:fill="CCEEFF" w:val="clear"/>
            <w:vAlign w:val="center"/>
          </w:tcPr>
          <w:p>
            <w:pPr>
              <w:pStyle w:val="TableContents"/>
              <w:bidi w:val="0"/>
              <w:spacing w:before="0" w:after="1"/>
              <w:ind w:left="0" w:right="0" w:hanging="0"/>
              <w:jc w:val="left"/>
              <w:rPr/>
            </w:pPr>
            <w:r>
              <w:rPr/>
              <w:t> </w:t>
            </w:r>
          </w:p>
        </w:tc>
        <w:tc>
          <w:tcPr>
            <w:tcW w:w="222" w:type="dxa"/>
            <w:tcBorders/>
            <w:shd w:fill="CCEEFF" w:val="clear"/>
            <w:vAlign w:val="center"/>
          </w:tcPr>
          <w:p>
            <w:pPr>
              <w:pStyle w:val="TableContents"/>
              <w:bidi w:val="0"/>
              <w:spacing w:before="0" w:after="1"/>
              <w:ind w:left="0" w:right="0" w:hanging="0"/>
              <w:jc w:val="left"/>
              <w:rPr/>
            </w:pPr>
            <w:r>
              <w:rPr/>
              <w:t>​</w:t>
            </w:r>
          </w:p>
        </w:tc>
        <w:tc>
          <w:tcPr>
            <w:tcW w:w="602" w:type="dxa"/>
            <w:tcBorders/>
            <w:shd w:fill="CCEEFF" w:val="clear"/>
            <w:vAlign w:val="center"/>
          </w:tcPr>
          <w:p>
            <w:pPr>
              <w:pStyle w:val="TableContents"/>
              <w:bidi w:val="0"/>
              <w:spacing w:before="0" w:after="1"/>
              <w:ind w:left="0" w:right="0" w:hanging="0"/>
              <w:jc w:val="right"/>
              <w:rPr/>
            </w:pPr>
            <w:r>
              <w:rPr/>
              <w:t>  ​</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65"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0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29.9</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65"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10.7</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365"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0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40.6</w:t>
            </w:r>
          </w:p>
        </w:tc>
      </w:tr>
    </w:tbl>
    <w:p>
      <w:pPr>
        <w:pStyle w:val="TextBody"/>
        <w:bidi w:val="0"/>
        <w:spacing w:before="0" w:after="0"/>
        <w:ind w:left="0" w:right="0" w:hanging="0"/>
        <w:jc w:val="left"/>
        <w:rPr/>
      </w:pPr>
      <w:r>
        <w:rPr/>
        <w:t>​</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Substantially all of the Real Estate Management and Development Segment’s sales are related to land sales.</w:t>
      </w:r>
    </w:p>
    <w:p>
      <w:pPr>
        <w:pStyle w:val="TextBody"/>
        <w:bidi w:val="0"/>
        <w:spacing w:before="0" w:after="240"/>
        <w:ind w:left="0" w:right="0" w:firstLine="720"/>
        <w:jc w:val="both"/>
        <w:rPr/>
      </w:pPr>
      <w:r>
        <w:rPr/>
        <w:t>​</w:t>
      </w:r>
    </w:p>
    <w:p>
      <w:pPr>
        <w:pStyle w:val="TextBody"/>
        <w:bidi w:val="0"/>
        <w:spacing w:before="240" w:after="240"/>
        <w:ind w:left="0" w:right="0" w:hanging="0"/>
        <w:jc w:val="left"/>
        <w:rPr>
          <w:rFonts w:ascii="Times New Roman;Times;serif" w:hAnsi="Times New Roman;Times;serif"/>
          <w:b/>
          <w:sz w:val="20"/>
        </w:rPr>
      </w:pPr>
      <w:bookmarkStart w:id="851" w:name="Tc_9M6lPIQ3_kiGAxEc91ba_Q_9_5"/>
      <w:bookmarkStart w:id="852" w:name="Tc_0ur46hgNAk2Jj6h9H6vudA_9_2"/>
      <w:bookmarkStart w:id="853" w:name="Tc_kkiAk5WtzEaW9zSPtkdBHg_9_0"/>
      <w:bookmarkStart w:id="854" w:name="Tc_3JUxC1YItUWapVJTSA-dIg_8_0"/>
      <w:bookmarkStart w:id="855" w:name="Tc_uH0ZEYBQPUKWqaAlyxsf6A_7_0"/>
      <w:bookmarkStart w:id="856" w:name="Tc_uofNc-109UGMtBszeTuVJA_6_0"/>
      <w:bookmarkStart w:id="857" w:name="Tc_mj1fGay6Uk62zq-oZGQidA_5_5"/>
      <w:bookmarkStart w:id="858" w:name="Tc_wEQ0pEU5LkG8lljYpgTwGw_5_2"/>
      <w:bookmarkStart w:id="859" w:name="Tc_ad4mtroofEmS2CV89gzvQw_5_0"/>
      <w:bookmarkStart w:id="860" w:name="Tc_2CFUdVWhFEOjM8T_1YKOaA_4_2"/>
      <w:bookmarkStart w:id="861" w:name="Tc_E9xQPs3TMUCI97qahND3qA_3_5"/>
      <w:bookmarkStart w:id="862" w:name="Tc_lyyQoiehK0KA-X1XD0CHqA_3_2"/>
      <w:bookmarkStart w:id="863" w:name="Tc_cquQFiyZsUmAe98jUE3LOw_2_2"/>
      <w:bookmarkStart w:id="864" w:name="Tc_8mkLlOsl4kuB166YGvP6pg_1_2"/>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r>
        <w:rPr>
          <w:rFonts w:ascii="Times New Roman;Times;serif" w:hAnsi="Times New Roman;Times;serif"/>
          <w:b/>
          <w:sz w:val="20"/>
        </w:rPr>
        <w:t>Note 11 – Defined benefit pension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components of our net periodic defined benefit pension cost are presented in the table below.</w:t>
      </w:r>
    </w:p>
    <w:p>
      <w:pPr>
        <w:pStyle w:val="TextBody"/>
        <w:bidi w:val="0"/>
        <w:spacing w:before="0" w:after="0"/>
        <w:ind w:left="0" w:right="0" w:hanging="0"/>
        <w:jc w:val="left"/>
        <w:rPr/>
      </w:pPr>
      <w:r>
        <w:rPr/>
        <w:t>​</w:t>
      </w:r>
    </w:p>
    <w:tbl>
      <w:tblPr>
        <w:tblW w:w="4920" w:type="dxa"/>
        <w:jc w:val="left"/>
        <w:tblInd w:w="0" w:type="dxa"/>
        <w:tblLayout w:type="fixed"/>
        <w:tblCellMar>
          <w:top w:w="0" w:type="dxa"/>
          <w:left w:w="0" w:type="dxa"/>
          <w:bottom w:w="0" w:type="dxa"/>
          <w:right w:w="0" w:type="dxa"/>
        </w:tblCellMar>
      </w:tblPr>
      <w:tblGrid>
        <w:gridCol w:w="2671"/>
        <w:gridCol w:w="346"/>
        <w:gridCol w:w="226"/>
        <w:gridCol w:w="516"/>
        <w:gridCol w:w="371"/>
        <w:gridCol w:w="226"/>
        <w:gridCol w:w="564"/>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696085" cy="175260"/>
                      <wp:effectExtent l="0" t="0" r="0" b="0"/>
                      <wp:wrapNone/>
                      <wp:docPr id="167" name="Frame167"/>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43510" cy="175260"/>
                      <wp:effectExtent l="0" t="0" r="0" b="0"/>
                      <wp:wrapNone/>
                      <wp:docPr id="169" name="Frame16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27660" cy="175260"/>
                      <wp:effectExtent l="0" t="0" r="0" b="0"/>
                      <wp:wrapNone/>
                      <wp:docPr id="170" name="Frame170"/>
                      <a:graphic xmlns:a="http://schemas.openxmlformats.org/drawingml/2006/main">
                        <a:graphicData uri="http://schemas.microsoft.com/office/word/2010/wordprocessingShape">
                          <wps:wsp>
                            <wps:cNvSpPr txBox="1"/>
                            <wps:spPr>
                              <a:xfrm>
                                <a:off x="0" y="0"/>
                                <a:ext cx="327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35585" cy="175260"/>
                      <wp:effectExtent l="0" t="0" r="0" b="0"/>
                      <wp:wrapNone/>
                      <wp:docPr id="171" name="Frame171"/>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43510" cy="175260"/>
                      <wp:effectExtent l="0" t="0" r="0" b="0"/>
                      <wp:wrapNone/>
                      <wp:docPr id="172" name="Frame17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58140" cy="175260"/>
                      <wp:effectExtent l="0" t="0" r="0" b="0"/>
                      <wp:wrapNone/>
                      <wp:docPr id="173" name="Frame173"/>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03"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1" w:type="dxa"/>
            <w:tcBorders/>
            <w:vAlign w:val="center"/>
          </w:tcPr>
          <w:p>
            <w:pPr>
              <w:pStyle w:val="TableContents"/>
              <w:bidi w:val="0"/>
              <w:spacing w:before="0" w:after="1"/>
              <w:ind w:left="0" w:right="0" w:hanging="0"/>
              <w:jc w:val="left"/>
              <w:rPr/>
            </w:pPr>
            <w:r>
              <w:rPr/>
              <w:t>  ​ ​ ​</w:t>
            </w:r>
          </w:p>
        </w:tc>
        <w:tc>
          <w:tcPr>
            <w:tcW w:w="7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92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03"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7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6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Interest cost </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7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5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7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56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net actuarial losses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71"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71"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6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2.0</w:t>
            </w:r>
          </w:p>
        </w:tc>
      </w:tr>
    </w:tbl>
    <w:p>
      <w:pPr>
        <w:pStyle w:val="TextBody"/>
        <w:bidi w:val="0"/>
        <w:spacing w:before="0" w:after="0"/>
        <w:ind w:left="0" w:right="0" w:hanging="0"/>
        <w:jc w:val="left"/>
        <w:rPr/>
      </w:pPr>
      <w:r>
        <w:rPr/>
        <w:t>​</w:t>
      </w:r>
    </w:p>
    <w:p>
      <w:pPr>
        <w:pStyle w:val="TextBody"/>
        <w:bidi w:val="0"/>
        <w:spacing w:before="200" w:after="0"/>
        <w:ind w:left="0" w:right="0" w:firstLine="720"/>
        <w:jc w:val="both"/>
        <w:rPr>
          <w:rFonts w:ascii="Times New Roman;Times;serif" w:hAnsi="Times New Roman;Times;serif"/>
          <w:sz w:val="20"/>
        </w:rPr>
      </w:pPr>
      <w:r>
        <w:rPr>
          <w:rFonts w:ascii="Times New Roman;Times;serif" w:hAnsi="Times New Roman;Times;serif"/>
          <w:sz w:val="20"/>
        </w:rPr>
        <w:t>We expect to contribute the equivalent of approximately $17 million to all of our defined benefit pension plans during 2026.</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175">
                <wp:simplePos x="0" y="0"/>
                <wp:positionH relativeFrom="page">
                  <wp:posOffset>0</wp:posOffset>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b/>
          <w:sz w:val="20"/>
        </w:rPr>
      </w:pPr>
      <w:bookmarkStart w:id="865" w:name="Tc_kLpwjF2mrkqTiYDL4TTy2Q_12_5"/>
      <w:bookmarkStart w:id="866" w:name="Tc_CZawBy8i_E2y4Ed4WRpvJA_12_2"/>
      <w:bookmarkStart w:id="867" w:name="Tc_xgHc6f1fAkGr5afDxk-WFQ_12_0"/>
      <w:bookmarkStart w:id="868" w:name="Tc__XJ9IB5UoEqhu-6_FF0xDw_11_0"/>
      <w:bookmarkStart w:id="869" w:name="Tc_E--v9gcBoEm0-h174Hl97g_10_0"/>
      <w:bookmarkStart w:id="870" w:name="Tc_YhOSNiZZZEmBdNbdP46RdQ_9_0"/>
      <w:bookmarkStart w:id="871" w:name="Tc_92k1HnDP-UKR9fwGMQOa2Q_8_0"/>
      <w:bookmarkStart w:id="872" w:name="Tc_QKRo49ujJkC4UvSXHwmnqA_7_3"/>
      <w:bookmarkStart w:id="873" w:name="Tc_TEpjJFpzoUqYxVv_1CF_4Q_7_0"/>
      <w:bookmarkStart w:id="874" w:name="Tc_-1gmyG8iF0G64vfgBj49Cg_6_5"/>
      <w:bookmarkStart w:id="875" w:name="Tc_FPb9ItwFvU65vv9y3GZmrg_6_2"/>
      <w:bookmarkStart w:id="876" w:name="Tc_XCi7S_unc02YQTYU5S348w_6_0"/>
      <w:bookmarkStart w:id="877" w:name="Tc_TfN6JyChG0m18QpoeDU4YQ_5_0"/>
      <w:bookmarkStart w:id="878" w:name="Tc_i34SZhJnkkidlFNk4cgzyw_4_2"/>
      <w:bookmarkStart w:id="879" w:name="Tc_vltTz9jnSUiaz-yAYEf38A_3_5"/>
      <w:bookmarkStart w:id="880" w:name="Tc__avEGM0m506_ivDhSAR5uQ_3_2"/>
      <w:bookmarkStart w:id="881" w:name="Tc_Ptc64A4qI0SEFGw9FClosA_2_2"/>
      <w:bookmarkStart w:id="882" w:name="Tc_IE7G87GZZ0SYRvjFwCarmw_1_2"/>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r>
        <w:rPr>
          <w:rFonts w:ascii="Times New Roman;Times;serif" w:hAnsi="Times New Roman;Times;serif"/>
          <w:b/>
          <w:sz w:val="20"/>
        </w:rPr>
        <w:t>Note 12 – Other income, net:</w:t>
      </w:r>
    </w:p>
    <w:p>
      <w:pPr>
        <w:pStyle w:val="TextBody"/>
        <w:bidi w:val="0"/>
        <w:spacing w:before="0" w:after="0"/>
        <w:ind w:left="0" w:right="0" w:hanging="0"/>
        <w:jc w:val="left"/>
        <w:rPr/>
      </w:pPr>
      <w:r>
        <w:rPr/>
        <w:t>​</w:t>
      </w:r>
    </w:p>
    <w:tbl>
      <w:tblPr>
        <w:tblW w:w="4695" w:type="dxa"/>
        <w:jc w:val="left"/>
        <w:tblInd w:w="0" w:type="dxa"/>
        <w:tblLayout w:type="fixed"/>
        <w:tblCellMar>
          <w:top w:w="0" w:type="dxa"/>
          <w:left w:w="0" w:type="dxa"/>
          <w:bottom w:w="0" w:type="dxa"/>
          <w:right w:w="0" w:type="dxa"/>
        </w:tblCellMar>
      </w:tblPr>
      <w:tblGrid>
        <w:gridCol w:w="2446"/>
        <w:gridCol w:w="346"/>
        <w:gridCol w:w="226"/>
        <w:gridCol w:w="516"/>
        <w:gridCol w:w="371"/>
        <w:gridCol w:w="226"/>
        <w:gridCol w:w="564"/>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553210" cy="175260"/>
                      <wp:effectExtent l="0" t="0" r="0" b="0"/>
                      <wp:wrapNone/>
                      <wp:docPr id="175" name="Frame175"/>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43510" cy="175260"/>
                      <wp:effectExtent l="0" t="0" r="0" b="0"/>
                      <wp:wrapNone/>
                      <wp:docPr id="177" name="Frame17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27660" cy="175260"/>
                      <wp:effectExtent l="0" t="0" r="0" b="0"/>
                      <wp:wrapNone/>
                      <wp:docPr id="178" name="Frame178"/>
                      <a:graphic xmlns:a="http://schemas.openxmlformats.org/drawingml/2006/main">
                        <a:graphicData uri="http://schemas.microsoft.com/office/word/2010/wordprocessingShape">
                          <wps:wsp>
                            <wps:cNvSpPr txBox="1"/>
                            <wps:spPr>
                              <a:xfrm>
                                <a:off x="0" y="0"/>
                                <a:ext cx="327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35585" cy="175260"/>
                      <wp:effectExtent l="0" t="0" r="0" b="0"/>
                      <wp:wrapNone/>
                      <wp:docPr id="179" name="Frame17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43510" cy="175260"/>
                      <wp:effectExtent l="0" t="0" r="0" b="0"/>
                      <wp:wrapNone/>
                      <wp:docPr id="180" name="Frame18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58140" cy="175260"/>
                      <wp:effectExtent l="0" t="0" r="0" b="0"/>
                      <wp:wrapNone/>
                      <wp:docPr id="181" name="Frame181"/>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0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1" w:type="dxa"/>
            <w:tcBorders/>
            <w:vAlign w:val="center"/>
          </w:tcPr>
          <w:p>
            <w:pPr>
              <w:pStyle w:val="TableContents"/>
              <w:bidi w:val="0"/>
              <w:spacing w:before="0" w:after="0"/>
              <w:ind w:left="0" w:right="0" w:hanging="0"/>
              <w:jc w:val="center"/>
              <w:rPr/>
            </w:pPr>
            <w:r>
              <w:rPr/>
              <w:t>  ​ ​ ​</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69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0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and other:</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516"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right"/>
              <w:rPr/>
            </w:pPr>
            <w:r>
              <w:rPr/>
              <w:t>  ​</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dividends</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7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6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transactions, net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transactions, net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Infrastructure reimbursement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71"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71"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6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4.1</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Infrastructure reimbursement  </w:t>
      </w:r>
      <w:r>
        <w:rPr>
          <w:rFonts w:ascii="Times New Roman;Times;serif" w:hAnsi="Times New Roman;Times;serif"/>
          <w:sz w:val="20"/>
        </w:rPr>
        <w:t xml:space="preserve">– As disclosed in Note 7 to our 2025 Annual Report, under an Owner Participation Agreement (“OPA”) entered into by LandWell with the Redevelopment Agency of the City of Henderson, Nevada, as LandWell develops certain real property for commercial and residential purposes in its master planned community in Henderson, Nevada, the cost of certain public infrastructure may be reimbursed to LandWell through tax increment. LandWell received $5.4 million during the first three months of 2026, which was recognized as other income and is evidenced by a promissory note issued to LandWell by the City of Henderson.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LandWell has agreements with certain utility providers servicing the Cadence master planned community under which certain costs incurred for the development of power infrastructure may be reimbursed to LandWell. LandWell received $.2 million and $.1 million in reimbursement during the first three months of 2025 and 2026, respectively, for past costs incurred.</w:t>
      </w:r>
    </w:p>
    <w:p>
      <w:pPr>
        <w:pStyle w:val="TextBody"/>
        <w:bidi w:val="0"/>
        <w:spacing w:before="0" w:after="240"/>
        <w:ind w:left="0" w:right="0" w:hanging="0"/>
        <w:jc w:val="left"/>
        <w:rPr>
          <w:rFonts w:ascii="Times New Roman;Times;serif" w:hAnsi="Times New Roman;Times;serif"/>
          <w:b/>
          <w:sz w:val="20"/>
        </w:rPr>
      </w:pPr>
      <w:bookmarkStart w:id="883" w:name="Tc_KAVTeBrcmUiDPlcmdvAXFg_26_5"/>
      <w:bookmarkStart w:id="884" w:name="Tc_C--jNdziSkOrhh9XH4rsbg_26_2"/>
      <w:bookmarkStart w:id="885" w:name="Tc_TLOw6h5p9kOYanJghBIy4Q_26_0"/>
      <w:bookmarkStart w:id="886" w:name="Tc_mx3HKSCodk2SQR7eyk4OPQ_25_0"/>
      <w:bookmarkStart w:id="887" w:name="Tc_ffwwKuOrP0KtKlVfcRxUXQ_24_0"/>
      <w:bookmarkStart w:id="888" w:name="Tc_7878_o4snUOFd9Bpu1jakA_23_0"/>
      <w:bookmarkStart w:id="889" w:name="Tc_Ffz_EpVBqE6vSpexWCFpAg_22_5"/>
      <w:bookmarkStart w:id="890" w:name="Tc_aAbLmo1wM0uehltryd_wlg_22_2"/>
      <w:bookmarkStart w:id="891" w:name="Tc_Bqs9585DCE6q7fNyVNZPnw_22_0"/>
      <w:bookmarkStart w:id="892" w:name="Tc_x0VycCM56E6ELwckt2_fIQ_21_0"/>
      <w:bookmarkStart w:id="893" w:name="Tc_crAvtxyDwEa071KegbkPtw_19_5"/>
      <w:bookmarkStart w:id="894" w:name="Tc_bIHLXcUiCEa0uA1l0DbrJQ_19_2"/>
      <w:bookmarkStart w:id="895" w:name="Tc_9X7A4UH1j0ifvProp6cXSw_19_0"/>
      <w:bookmarkStart w:id="896" w:name="Tc_tEFiH9g2qEWqIlBU1178gA_18_0"/>
      <w:bookmarkStart w:id="897" w:name="Tc_eJGKKb65akeI13MennsQlw_17_0"/>
      <w:bookmarkStart w:id="898" w:name="Tc_qkrVS6_vckeyR1bAQ0ubmQ_16_0"/>
      <w:bookmarkStart w:id="899" w:name="Tc_EmjNfRNfi0W96rjOsF7pHQ_15_3"/>
      <w:bookmarkStart w:id="900" w:name="Tc_yrwk-2gVKUK5vw-rao1REw_15_0"/>
      <w:bookmarkStart w:id="901" w:name="Tc_jWucwN9ac06xbPklAlkRRg_14_0"/>
      <w:bookmarkStart w:id="902" w:name="Tc_mgV9CB47kkqCJmv5J_SF4g_13_0"/>
      <w:bookmarkStart w:id="903" w:name="Tc_lcPhfPOZWkSmItYWnswKOw_12_0"/>
      <w:bookmarkStart w:id="904" w:name="Tc_O2SqxekmiUKjxmHRrDJPbg_11_0"/>
      <w:bookmarkStart w:id="905" w:name="Tc_mRpPjkeSD0mz0-s7MBzXeg_10_0"/>
      <w:bookmarkStart w:id="906" w:name="Tc__M6_6J6KaUma1Ra-1Fw76w_9_0"/>
      <w:bookmarkStart w:id="907" w:name="Tc_f0C_HT-dLEyrG14DqYDyTQ_8_0"/>
      <w:bookmarkStart w:id="908" w:name="Tc_HZl1KgAGr0aNoZTgtLty4g_7_0"/>
      <w:bookmarkStart w:id="909" w:name="Tc_0RyJaOIy60i8qSQnQ-KALg_6_3"/>
      <w:bookmarkStart w:id="910" w:name="Tc_XrFq0as_BEWbFrCig77F2g_6_0"/>
      <w:bookmarkStart w:id="911" w:name="Tc_gmKt1wdVIUqrX7At9IalMw_5_0"/>
      <w:bookmarkStart w:id="912" w:name="Tc_WnssG8NSoUijRWkmi6ZyJQ_4_5"/>
      <w:bookmarkStart w:id="913" w:name="Tc_Mlwb92tHO0GCytAbrwJRdw_4_2"/>
      <w:bookmarkStart w:id="914" w:name="Tc_cTVMfB0FSUeFrBu2XEF_YQ_4_0"/>
      <w:bookmarkStart w:id="915" w:name="Tc_AJR27GExLk-onYvHX-FY-Q_3_2"/>
      <w:bookmarkStart w:id="916" w:name="Tc_W5O2y2ny40K3CWD15HmU0g_2_5"/>
      <w:bookmarkStart w:id="917" w:name="Tc_GGxfVPULfUGSOzUsW8tJTg_2_2"/>
      <w:bookmarkStart w:id="918" w:name="Tc_TBj16lxhr027R0wcyMZiow_1_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r>
        <w:rPr>
          <w:rFonts w:ascii="Times New Roman;Times;serif" w:hAnsi="Times New Roman;Times;serif"/>
          <w:b/>
          <w:sz w:val="20"/>
        </w:rPr>
        <w:t>Note 13 – Income taxes: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provision for income taxes and the difference between such provision for income taxes and the amount that would be expected using the U.S. federal statutory income tax rate of 21% are presented below.  </w:t>
      </w:r>
    </w:p>
    <w:p>
      <w:pPr>
        <w:pStyle w:val="TextBody"/>
        <w:bidi w:val="0"/>
        <w:spacing w:before="0" w:after="0"/>
        <w:ind w:left="0" w:right="0" w:hanging="0"/>
        <w:jc w:val="left"/>
        <w:rPr/>
      </w:pPr>
      <w:r>
        <w:rPr/>
        <w:t>​</w:t>
      </w:r>
    </w:p>
    <w:tbl>
      <w:tblPr>
        <w:tblW w:w="7980" w:type="dxa"/>
        <w:jc w:val="left"/>
        <w:tblInd w:w="0" w:type="dxa"/>
        <w:tblLayout w:type="fixed"/>
        <w:tblCellMar>
          <w:top w:w="0" w:type="dxa"/>
          <w:left w:w="0" w:type="dxa"/>
          <w:bottom w:w="0" w:type="dxa"/>
          <w:right w:w="0" w:type="dxa"/>
        </w:tblCellMar>
      </w:tblPr>
      <w:tblGrid>
        <w:gridCol w:w="4816"/>
        <w:gridCol w:w="346"/>
        <w:gridCol w:w="335"/>
        <w:gridCol w:w="764"/>
        <w:gridCol w:w="549"/>
        <w:gridCol w:w="335"/>
        <w:gridCol w:w="835"/>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058160" cy="175260"/>
                      <wp:effectExtent l="0" t="0" r="0" b="0"/>
                      <wp:wrapNone/>
                      <wp:docPr id="182" name="Frame182"/>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2725" cy="175260"/>
                      <wp:effectExtent l="0" t="0" r="0" b="0"/>
                      <wp:wrapNone/>
                      <wp:docPr id="184" name="Frame184"/>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85140" cy="175260"/>
                      <wp:effectExtent l="0" t="0" r="0" b="0"/>
                      <wp:wrapNone/>
                      <wp:docPr id="185" name="Frame185"/>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48615" cy="175260"/>
                      <wp:effectExtent l="0" t="0" r="0" b="0"/>
                      <wp:wrapNone/>
                      <wp:docPr id="186" name="Frame186"/>
                      <a:graphic xmlns:a="http://schemas.openxmlformats.org/drawingml/2006/main">
                        <a:graphicData uri="http://schemas.microsoft.com/office/word/2010/wordprocessingShape">
                          <wps:wsp>
                            <wps:cNvSpPr txBox="1"/>
                            <wps:spPr>
                              <a:xfrm>
                                <a:off x="0" y="0"/>
                                <a:ext cx="348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2725" cy="175260"/>
                      <wp:effectExtent l="0" t="0" r="0" b="0"/>
                      <wp:wrapNone/>
                      <wp:docPr id="187" name="Frame187"/>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30225" cy="175260"/>
                      <wp:effectExtent l="0" t="0" r="0" b="0"/>
                      <wp:wrapNone/>
                      <wp:docPr id="188" name="Frame188"/>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March 31, </w:t>
            </w:r>
          </w:p>
        </w:tc>
      </w:tr>
      <w:tr>
        <w:trPr/>
        <w:tc>
          <w:tcPr>
            <w:tcW w:w="4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49" w:type="dxa"/>
            <w:tcBorders/>
            <w:vAlign w:val="center"/>
          </w:tcPr>
          <w:p>
            <w:pPr>
              <w:pStyle w:val="TableContents"/>
              <w:bidi w:val="0"/>
              <w:spacing w:before="0" w:after="0"/>
              <w:ind w:left="0" w:right="0" w:hanging="0"/>
              <w:jc w:val="center"/>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798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1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federal statutory income tax rate</w:t>
            </w:r>
          </w:p>
        </w:tc>
        <w:tc>
          <w:tcPr>
            <w:tcW w:w="346"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54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valuation allowances</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54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Belgium:</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valuation allowances</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54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foreign jurisdictions</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54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cross-border tax laws:</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controlled-foreign-corporation tested income</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54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Incremental tax benefit on earnings or losses of subsidiary</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54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valuation allowances</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54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unrecognized tax benefits</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Incremental tax benefit on investment in Kronos</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54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549"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549"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w:t>
            </w:r>
          </w:p>
        </w:tc>
      </w:tr>
      <w:tr>
        <w:trPr/>
        <w:tc>
          <w:tcPr>
            <w:tcW w:w="48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provision for income taxes allocable to:</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54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54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Defined benefit pension plans</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549"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549"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6.9</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190">
                <wp:simplePos x="0" y="0"/>
                <wp:positionH relativeFrom="page">
                  <wp:posOffset>0</wp:posOffset>
                </wp:positionH>
                <wp:positionV relativeFrom="line">
                  <wp:posOffset>635</wp:posOffset>
                </wp:positionV>
                <wp:extent cx="6480175" cy="175260"/>
                <wp:effectExtent l="0" t="0" r="0" b="0"/>
                <wp:wrapNone/>
                <wp:docPr id="189"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amount shown in the preceding table of our income tax rate reconciliation for incremental tax benefit on earnings or losses of subsidiary represents net current and deferred U.S. income tax benefit attributable to one of our Chemicals Segment’s non-U.S. subsidiaries which is treated as a dual resident for U.S. income tax purposes.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On July 4, 2025, the One Big Beautiful Bill Act (“OBBBA”) was signed into law in the United States.  It did not have a material impact on our consolidated financial statements.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Tax authorities are examining certain of our U.S. and non-U.S. income tax returns and may propose tax deficiencies, including penalties and interest. In March 2026, we received notices of assessment from the German tax authorities for tax years 2019 through 2021. We disagree with the assessments and have filed notice of appeal.  However, due to the uncertainty of the appeal and the complexity of the appeal process, during the first quarter of 2026 we recorded net income tax expense of $2.0 million to establish an uncertain tax position, net of amounts expected to be received from other taxing jurisdictions.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we have adequate accruals for additional taxes and related interest expense which could ultimately result from tax examinations. We believe the ultimate disposition of tax examinations should not have a material adverse effect on our consolidated financial position, results of operations or liquidity.</w:t>
      </w:r>
    </w:p>
    <w:p>
      <w:pPr>
        <w:pStyle w:val="TextBody"/>
        <w:bidi w:val="0"/>
        <w:spacing w:before="0" w:after="240"/>
        <w:ind w:left="0" w:right="0" w:hanging="0"/>
        <w:jc w:val="left"/>
        <w:rPr>
          <w:rFonts w:ascii="Times New Roman;Times;serif" w:hAnsi="Times New Roman;Times;serif"/>
          <w:b/>
          <w:sz w:val="20"/>
        </w:rPr>
      </w:pPr>
      <w:bookmarkStart w:id="919" w:name="Tc_mInjYiY1FES_tInoKY9-gw_10_5"/>
      <w:bookmarkStart w:id="920" w:name="Tc_zPB5Pz1y_0mei76s8aTO2g_10_2"/>
      <w:bookmarkStart w:id="921" w:name="Tc_B2ldNCvHHUeA_JhmWWLA6A_10_0"/>
      <w:bookmarkStart w:id="922" w:name="Tc_qPHbkHW-hk6McMloRfcUVQ_9_0"/>
      <w:bookmarkStart w:id="923" w:name="Tc_L-6II6Kuwky3k6o57K_n9Q_8_0"/>
      <w:bookmarkStart w:id="924" w:name="Tc_ASVQBRboMEGlqCnKD5TCpA_7_0"/>
      <w:bookmarkStart w:id="925" w:name="Tc_IP68vfQeZ0W8haDT6I2xYg_6_0"/>
      <w:bookmarkStart w:id="926" w:name="Tc_I6AyjqNLrECPHRFwtgPjTg_5_5"/>
      <w:bookmarkStart w:id="927" w:name="Tc_FnxbI3ZXRUyNifMQIg1X_g_5_2"/>
      <w:bookmarkStart w:id="928" w:name="Tc_93HueK22H0WvBtEuIkYXUg_5_0"/>
      <w:bookmarkStart w:id="929" w:name="Tc_W2Bxm6PdK0-mAVF3uKcU-A_4_0"/>
      <w:bookmarkStart w:id="930" w:name="Tc_SeMXnNkzlkaXsp5KCzN8NQ_3_2"/>
      <w:bookmarkStart w:id="931" w:name="Tc_2xPwuAOzkk-caSS9cN0E_w_2_5"/>
      <w:bookmarkStart w:id="932" w:name="Tc_7DD_O8n2HUWKZ3wF7-aypg_2_2"/>
      <w:bookmarkStart w:id="933" w:name="Tc_I5UOmE9ENUmEBIf3AVAmWQ_1_2"/>
      <w:bookmarkStart w:id="934" w:name="Tc_1bUVE4vWXUmvnfTVCss1Ew_10_5"/>
      <w:bookmarkStart w:id="935" w:name="Tc_xVoXreXpiUiUAfmH6_vOPQ_10_2"/>
      <w:bookmarkStart w:id="936" w:name="Tc__C5MzwO1mkyeOgIE6ETcKQ_10_0"/>
      <w:bookmarkStart w:id="937" w:name="Tc_Ox8EcfOPnUq2BRPHwYYuVQ_9_0"/>
      <w:bookmarkStart w:id="938" w:name="Tc_P0EQEfAujkuqfTxD8WUyUA_8_0"/>
      <w:bookmarkStart w:id="939" w:name="Tc_qQlbXZk8s0SNnkbnJTpbfg_7_0"/>
      <w:bookmarkStart w:id="940" w:name="Tc_T6u06UcX20yO3Ot61XnI6g_6_0"/>
      <w:bookmarkStart w:id="941" w:name="Tc_V3PezxzpCU2Y5HvjZ0SkMw_5_5"/>
      <w:bookmarkStart w:id="942" w:name="Tc_SipScIlcZ02Rn1SZJZhF8A_5_2"/>
      <w:bookmarkStart w:id="943" w:name="Tc_G-c4LRMae0mehavv8Kt_8A_5_0"/>
      <w:bookmarkStart w:id="944" w:name="Tc_yrNZdRXbiU-OLLWS7bp3Fg_4_0"/>
      <w:bookmarkStart w:id="945" w:name="Tc_zhUA0dx90k6iegVFb8XnSA_3_2"/>
      <w:bookmarkStart w:id="946" w:name="Tc_B4MkRjk8LkmTOSKJOsvaFg_2_5"/>
      <w:bookmarkStart w:id="947" w:name="Tc_1xLUEpvlXUKqGiZMjYU7AA_2_2"/>
      <w:bookmarkStart w:id="948" w:name="Tc_zuvXR8s-_EeCczdtmMfr6A_1_5"/>
      <w:bookmarkStart w:id="949" w:name="Tc_d0BldFGi20-FonnbElf37w_1_2"/>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r>
        <w:rPr>
          <w:rFonts w:ascii="Times New Roman;Times;serif" w:hAnsi="Times New Roman;Times;serif"/>
          <w:b/>
          <w:sz w:val="20"/>
        </w:rPr>
        <w:t>Note 14 - Noncontrolling interest in subsidiaries:</w:t>
      </w:r>
    </w:p>
    <w:p>
      <w:pPr>
        <w:pStyle w:val="TextBody"/>
        <w:bidi w:val="0"/>
        <w:spacing w:before="0" w:after="0"/>
        <w:ind w:left="0" w:right="0" w:hanging="0"/>
        <w:jc w:val="left"/>
        <w:rPr/>
      </w:pPr>
      <w:r>
        <w:rPr/>
        <w:t>​</w:t>
      </w:r>
    </w:p>
    <w:tbl>
      <w:tblPr>
        <w:tblW w:w="6168" w:type="dxa"/>
        <w:jc w:val="left"/>
        <w:tblInd w:w="0" w:type="dxa"/>
        <w:tblLayout w:type="fixed"/>
        <w:tblCellMar>
          <w:top w:w="0" w:type="dxa"/>
          <w:left w:w="0" w:type="dxa"/>
          <w:bottom w:w="0" w:type="dxa"/>
          <w:right w:w="0" w:type="dxa"/>
        </w:tblCellMar>
      </w:tblPr>
      <w:tblGrid>
        <w:gridCol w:w="3106"/>
        <w:gridCol w:w="346"/>
        <w:gridCol w:w="352"/>
        <w:gridCol w:w="953"/>
        <w:gridCol w:w="346"/>
        <w:gridCol w:w="253"/>
        <w:gridCol w:w="812"/>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972310" cy="175260"/>
                      <wp:effectExtent l="0" t="0" r="0" b="0"/>
                      <wp:wrapNone/>
                      <wp:docPr id="190" name="Frame190"/>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23520" cy="175260"/>
                      <wp:effectExtent l="0" t="0" r="0" b="0"/>
                      <wp:wrapNone/>
                      <wp:docPr id="192" name="Frame192"/>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05155" cy="175260"/>
                      <wp:effectExtent l="0" t="0" r="0" b="0"/>
                      <wp:wrapNone/>
                      <wp:docPr id="193" name="Frame193"/>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60655" cy="175260"/>
                      <wp:effectExtent l="0" t="0" r="0" b="0"/>
                      <wp:wrapNone/>
                      <wp:docPr id="195" name="Frame195"/>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15620" cy="175260"/>
                      <wp:effectExtent l="0" t="0" r="0" b="0"/>
                      <wp:wrapNone/>
                      <wp:docPr id="196" name="Frame196"/>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16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71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 in net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352" w:type="dxa"/>
            <w:tcBorders/>
            <w:shd w:fill="CCEEFF" w:val="clear"/>
            <w:vAlign w:val="center"/>
          </w:tcPr>
          <w:p>
            <w:pPr>
              <w:pStyle w:val="TableContents"/>
              <w:bidi w:val="0"/>
              <w:spacing w:before="0" w:after="0"/>
              <w:ind w:left="0" w:right="0" w:hanging="0"/>
              <w:jc w:val="left"/>
              <w:rPr/>
            </w:pPr>
            <w:r>
              <w:rPr/>
              <w:t>​</w:t>
            </w:r>
          </w:p>
        </w:tc>
        <w:tc>
          <w:tcPr>
            <w:tcW w:w="95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  ​</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Kronos Worldwide</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197.6</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196.4</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NL Industries</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75.1</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CompX International</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 </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18.3</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BMI</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26.9</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LandWell</w:t>
            </w:r>
          </w:p>
        </w:tc>
        <w:tc>
          <w:tcPr>
            <w:tcW w:w="346"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340.5</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344.9</w:t>
            </w:r>
          </w:p>
        </w:tc>
      </w:tr>
    </w:tbl>
    <w:p>
      <w:pPr>
        <w:pStyle w:val="TextBody"/>
        <w:bidi w:val="0"/>
        <w:spacing w:before="0" w:after="40"/>
        <w:ind w:left="0" w:right="0" w:hanging="0"/>
        <w:jc w:val="left"/>
        <w:rPr/>
      </w:pPr>
      <w:r>
        <w:rPr/>
        <w:t>​</w:t>
      </w:r>
    </w:p>
    <w:tbl>
      <w:tblPr>
        <w:tblW w:w="7141" w:type="dxa"/>
        <w:jc w:val="left"/>
        <w:tblInd w:w="0" w:type="dxa"/>
        <w:tblLayout w:type="fixed"/>
        <w:tblCellMar>
          <w:top w:w="0" w:type="dxa"/>
          <w:left w:w="0" w:type="dxa"/>
          <w:bottom w:w="0" w:type="dxa"/>
          <w:right w:w="0" w:type="dxa"/>
        </w:tblCellMar>
      </w:tblPr>
      <w:tblGrid>
        <w:gridCol w:w="4936"/>
        <w:gridCol w:w="346"/>
        <w:gridCol w:w="237"/>
        <w:gridCol w:w="405"/>
        <w:gridCol w:w="389"/>
        <w:gridCol w:w="237"/>
        <w:gridCol w:w="591"/>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134360" cy="175260"/>
                      <wp:effectExtent l="0" t="0" r="0" b="0"/>
                      <wp:wrapNone/>
                      <wp:docPr id="197" name="Frame197"/>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50495" cy="175260"/>
                      <wp:effectExtent l="0" t="0" r="0" b="0"/>
                      <wp:wrapNone/>
                      <wp:docPr id="199" name="Frame19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57175" cy="175260"/>
                      <wp:effectExtent l="0" t="0" r="0" b="0"/>
                      <wp:wrapNone/>
                      <wp:docPr id="200" name="Frame200"/>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47015" cy="175260"/>
                      <wp:effectExtent l="0" t="0" r="0" b="0"/>
                      <wp:wrapNone/>
                      <wp:docPr id="201" name="Frame201"/>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50495" cy="175260"/>
                      <wp:effectExtent l="0" t="0" r="0" b="0"/>
                      <wp:wrapNone/>
                      <wp:docPr id="202" name="Frame20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75285" cy="175260"/>
                      <wp:effectExtent l="0" t="0" r="0" b="0"/>
                      <wp:wrapNone/>
                      <wp:docPr id="203" name="Frame203"/>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br/>
              <w:t>March 31,</w:t>
            </w:r>
          </w:p>
        </w:tc>
      </w:tr>
      <w:tr>
        <w:trPr/>
        <w:tc>
          <w:tcPr>
            <w:tcW w:w="4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89" w:type="dxa"/>
            <w:tcBorders/>
            <w:vAlign w:val="center"/>
          </w:tcPr>
          <w:p>
            <w:pPr>
              <w:pStyle w:val="TableContents"/>
              <w:bidi w:val="0"/>
              <w:spacing w:before="0" w:after="0"/>
              <w:ind w:left="0" w:right="0" w:hanging="0"/>
              <w:jc w:val="left"/>
              <w:rPr/>
            </w:pPr>
            <w:r>
              <w:rPr/>
              <w:t>  ​ ​ ​</w:t>
            </w:r>
          </w:p>
        </w:tc>
        <w:tc>
          <w:tcPr>
            <w:tcW w:w="8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714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59"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 in net income (loss) of subsidiaries:</w:t>
            </w:r>
          </w:p>
        </w:tc>
        <w:tc>
          <w:tcPr>
            <w:tcW w:w="346"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right"/>
              <w:rPr/>
            </w:pPr>
            <w:r>
              <w:rPr/>
              <w:t>  ​</w:t>
            </w:r>
          </w:p>
        </w:tc>
        <w:tc>
          <w:tcPr>
            <w:tcW w:w="389"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pPr>
            <w:r>
              <w:rPr/>
              <w:t>  ​</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Kronos Worldwide</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8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NL Industries</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CompX International</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8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BMI</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LandWell</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8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05">
                <wp:simplePos x="0" y="0"/>
                <wp:positionH relativeFrom="page">
                  <wp:posOffset>0</wp:posOffset>
                </wp:positionH>
                <wp:positionV relativeFrom="line">
                  <wp:posOffset>635</wp:posOffset>
                </wp:positionV>
                <wp:extent cx="6480175" cy="175260"/>
                <wp:effectExtent l="0" t="0" r="0" b="0"/>
                <wp:wrapNone/>
                <wp:docPr id="204"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b/>
          <w:sz w:val="20"/>
        </w:rPr>
      </w:pPr>
      <w:bookmarkStart w:id="950" w:name="Tc_gA-ZHcYnJ0GFdJpcSV6d9g_29_5"/>
      <w:bookmarkStart w:id="951" w:name="Tc_BFB1PfB8G02zjmwxrDgo1w_29_2"/>
      <w:bookmarkStart w:id="952" w:name="Tc_PCBxAv1AtkSXAcm-ZF5jPA_29_0"/>
      <w:bookmarkStart w:id="953" w:name="Tc_se2Uv2rxn0-MfuWzJG0GGA_28_0"/>
      <w:bookmarkStart w:id="954" w:name="Tc_6Q-2PLDUlUeXy_QgbPWjWQ_27_5"/>
      <w:bookmarkStart w:id="955" w:name="Tc_szHfIQGJ4EagaYupcQQhkQ_27_2"/>
      <w:bookmarkStart w:id="956" w:name="Tc_CZZQ9l1AG0CHJQ9CpaVpMA_27_0"/>
      <w:bookmarkStart w:id="957" w:name="Tc_Ad4cKgteskWqVy5tStNz8A_26_0"/>
      <w:bookmarkStart w:id="958" w:name="Tc_7Jt43J7hwUah4CxFWasYNQ_24_5"/>
      <w:bookmarkStart w:id="959" w:name="Tc_aabzv2O9XkmFE-HQ3dsUOQ_24_2"/>
      <w:bookmarkStart w:id="960" w:name="Tc_9dPOhoJkxUmfYrnPG7A50g_24_0"/>
      <w:bookmarkStart w:id="961" w:name="Tc_d-LSBrk490yU58SO33RFXw_23_6"/>
      <w:bookmarkStart w:id="962" w:name="Tc_z5KYANr64UCRuPiBTMzWQA_23_0"/>
      <w:bookmarkStart w:id="963" w:name="Tc_d4yX4ysLLEOrNbYdfkxw4Q_22_0"/>
      <w:bookmarkStart w:id="964" w:name="Tc_1Byv9jvDGEe8OrWkcjbAfQ_21_5"/>
      <w:bookmarkStart w:id="965" w:name="Tc_TH2ZB7I_kUenHB-WhvgkMQ_21_2"/>
      <w:bookmarkStart w:id="966" w:name="Tc_MopYJ786U06H-QOhfWl0lg_21_0"/>
      <w:bookmarkStart w:id="967" w:name="Tc_Bsyra0YYAUibUOXhHjaxsw_20_0"/>
      <w:bookmarkStart w:id="968" w:name="Tc_nKRhvrep7EyNgGqChBSw6Q_18_5"/>
      <w:bookmarkStart w:id="969" w:name="Tc_OKe6WhAPWkSDkw4u29NykQ_18_2"/>
      <w:bookmarkStart w:id="970" w:name="Tc_5ONiZJU9NkK4iFSz33Nc3w_18_0"/>
      <w:bookmarkStart w:id="971" w:name="Tc_BLRxDWs3N0uN8bSTbh0mQg_17_0"/>
      <w:bookmarkStart w:id="972" w:name="Tc_UJpLVc_EdkmuFb38Sfp3_g_16_0"/>
      <w:bookmarkStart w:id="973" w:name="Tc_cTxWdeNRTkKIce5fVSNekg_15_5"/>
      <w:bookmarkStart w:id="974" w:name="Tc_x08ORH8hZUOjJ4uF7i_Zow_15_2"/>
      <w:bookmarkStart w:id="975" w:name="Tc_WIlFN0iBaUKxhZ65UpMd7Q_15_0"/>
      <w:bookmarkStart w:id="976" w:name="Tc_Loamtuw8Ckih3rVDDIx6ZQ_14_0"/>
      <w:bookmarkStart w:id="977" w:name="Tc_GChadEEw0EOti5bc4ff-Qw_12_5"/>
      <w:bookmarkStart w:id="978" w:name="Tc_AN722_gGjE64vXuUDPm2-w_12_2"/>
      <w:bookmarkStart w:id="979" w:name="Tc_iVPfJl_GGkWTsBr7enK9qA_12_0"/>
      <w:bookmarkStart w:id="980" w:name="Tc_pa6ba_GlUEmS_w0M4hba5g_11_0"/>
      <w:bookmarkStart w:id="981" w:name="Tc_3Fp1rd12r0qmKvjdULNGaA_10_5"/>
      <w:bookmarkStart w:id="982" w:name="Tc_aDQFMN8r1UazKYHF4j93cA_10_2"/>
      <w:bookmarkStart w:id="983" w:name="Tc_UnpjOymlDUWLVzkVLdpSYg_10_0"/>
      <w:bookmarkStart w:id="984" w:name="Tc_HQIZUhzNe0e1WsYDyl3sLw_9_0"/>
      <w:bookmarkStart w:id="985" w:name="Tc_gF_t0uX6ak-Gj-nCl6GTew_7_5"/>
      <w:bookmarkStart w:id="986" w:name="Tc__Koj3Qo2Y0-qOjvczp-c7g_7_2"/>
      <w:bookmarkStart w:id="987" w:name="Tc_-4uhkEQWsU6IZylbQYVVjA_7_0"/>
      <w:bookmarkStart w:id="988" w:name="Tc_bBOkN8wisEOA_uJWqrBIGg_6_0"/>
      <w:bookmarkStart w:id="989" w:name="Tc_VVueB-DvS0-rYnKkWJQ61Q_5_0"/>
      <w:bookmarkStart w:id="990" w:name="Tc_F69eHD_eW0aTZYnz-deskQ_4_2"/>
      <w:bookmarkStart w:id="991" w:name="Tc_6p4cPegTqEuSYLuzByWXOw_3_5"/>
      <w:bookmarkStart w:id="992" w:name="Tc_wUIm74SH7E2QpFpvzg1SSQ_3_2"/>
      <w:bookmarkStart w:id="993" w:name="Tc_JFwlsWqCL0SPFdyLJAYywA_2_2"/>
      <w:bookmarkStart w:id="994" w:name="Tc_E3bwzvxTokyQnMEiPt52nw_1_2"/>
      <w:bookmarkStart w:id="995" w:name="_e7b05b69_ac5c_47ba_90e2_cea95eecc252"/>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r>
        <w:rPr>
          <w:rFonts w:ascii="Times New Roman;Times;serif" w:hAnsi="Times New Roman;Times;serif"/>
          <w:b/>
          <w:sz w:val="20"/>
        </w:rPr>
        <w:t>Note 15 – Stockholders’ equity: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Accumulated other comprehensive loss </w:t>
      </w:r>
      <w:r>
        <w:rPr>
          <w:rFonts w:ascii="Times New Roman;Times;serif" w:hAnsi="Times New Roman;Times;serif"/>
          <w:sz w:val="20"/>
        </w:rPr>
        <w:t>– Changes in accumulated other comprehensive income (loss) attributable to Valhi stockholders are presented in the table below.</w:t>
      </w:r>
    </w:p>
    <w:p>
      <w:pPr>
        <w:pStyle w:val="TextBody"/>
        <w:bidi w:val="0"/>
        <w:spacing w:before="0" w:after="0"/>
        <w:ind w:left="0" w:right="0" w:hanging="0"/>
        <w:jc w:val="left"/>
        <w:rPr/>
      </w:pPr>
      <w:r>
        <w:rPr/>
        <w:t>​</w:t>
      </w:r>
    </w:p>
    <w:tbl>
      <w:tblPr>
        <w:tblW w:w="7867" w:type="dxa"/>
        <w:jc w:val="left"/>
        <w:tblInd w:w="0" w:type="dxa"/>
        <w:tblLayout w:type="fixed"/>
        <w:tblCellMar>
          <w:top w:w="0" w:type="dxa"/>
          <w:left w:w="0" w:type="dxa"/>
          <w:bottom w:w="0" w:type="dxa"/>
          <w:right w:w="0" w:type="dxa"/>
        </w:tblCellMar>
      </w:tblPr>
      <w:tblGrid>
        <w:gridCol w:w="5326"/>
        <w:gridCol w:w="346"/>
        <w:gridCol w:w="211"/>
        <w:gridCol w:w="691"/>
        <w:gridCol w:w="346"/>
        <w:gridCol w:w="211"/>
        <w:gridCol w:w="736"/>
      </w:tblGrid>
      <w:tr>
        <w:trPr/>
        <w:tc>
          <w:tcPr>
            <w:tcW w:w="5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382010" cy="175260"/>
                      <wp:effectExtent l="0" t="0" r="0" b="0"/>
                      <wp:wrapNone/>
                      <wp:docPr id="205" name="Frame205"/>
                      <a:graphic xmlns:a="http://schemas.openxmlformats.org/drawingml/2006/main">
                        <a:graphicData uri="http://schemas.microsoft.com/office/word/2010/wordprocessingShape">
                          <wps:wsp>
                            <wps:cNvSpPr txBox="1"/>
                            <wps:spPr>
                              <a:xfrm>
                                <a:off x="0" y="0"/>
                                <a:ext cx="3382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38785" cy="175260"/>
                      <wp:effectExtent l="0" t="0" r="0" b="0"/>
                      <wp:wrapNone/>
                      <wp:docPr id="208" name="Frame20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67360" cy="175260"/>
                      <wp:effectExtent l="0" t="0" r="0" b="0"/>
                      <wp:wrapNone/>
                      <wp:docPr id="211" name="Frame21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9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5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5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786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9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5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Accumulated other comprehensive income (loss) (net of tax and </w:t>
              <w:br/>
              <w:t>  noncontrolling interest):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5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5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and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w:t>
            </w:r>
          </w:p>
        </w:tc>
      </w:tr>
      <w:tr>
        <w:trPr/>
        <w:tc>
          <w:tcPr>
            <w:tcW w:w="5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5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5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(90.1)</w:t>
            </w:r>
          </w:p>
        </w:tc>
      </w:tr>
      <w:tr>
        <w:trPr/>
        <w:tc>
          <w:tcPr>
            <w:tcW w:w="5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arising during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w:t>
            </w:r>
          </w:p>
        </w:tc>
      </w:tr>
      <w:tr>
        <w:trPr/>
        <w:tc>
          <w:tcPr>
            <w:tcW w:w="5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(87.4)</w:t>
            </w:r>
          </w:p>
        </w:tc>
      </w:tr>
      <w:tr>
        <w:trPr/>
        <w:tc>
          <w:tcPr>
            <w:tcW w:w="53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5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Defined benefit pension plans: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5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w:t>
            </w:r>
          </w:p>
        </w:tc>
      </w:tr>
      <w:tr>
        <w:trPr/>
        <w:tc>
          <w:tcPr>
            <w:tcW w:w="5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5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and net losses </w:t>
              <w:br/>
              <w:t>  included in net periodic pension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r>
      <w:tr>
        <w:trPr/>
        <w:tc>
          <w:tcPr>
            <w:tcW w:w="5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(17.5)</w:t>
            </w:r>
          </w:p>
        </w:tc>
      </w:tr>
      <w:tr>
        <w:trPr/>
        <w:tc>
          <w:tcPr>
            <w:tcW w:w="53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5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OPEB plans: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5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5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5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prior service credit and net losses </w:t>
            </w:r>
            <w:r>
              <w:rPr>
                <w:rFonts w:ascii="Helvetica;sans-serif" w:hAnsi="Helvetica;sans-serif"/>
                <w:sz w:val="20"/>
              </w:rPr>
              <w:br/>
            </w:r>
            <w:r>
              <w:rPr>
                <w:rFonts w:ascii="Times New Roman;Times;serif" w:hAnsi="Times New Roman;Times;serif"/>
                <w:sz w:val="20"/>
              </w:rPr>
              <w:t>  included in net periodic OPEB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53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5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accumulated other comprehensive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5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(105.8)</w:t>
            </w:r>
          </w:p>
        </w:tc>
      </w:tr>
      <w:tr>
        <w:trPr/>
        <w:tc>
          <w:tcPr>
            <w:tcW w:w="5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w:t>
            </w:r>
          </w:p>
        </w:tc>
      </w:tr>
      <w:tr>
        <w:trPr/>
        <w:tc>
          <w:tcPr>
            <w:tcW w:w="5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(102.9)</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13">
                <wp:simplePos x="0" y="0"/>
                <wp:positionH relativeFrom="page">
                  <wp:posOffset>0</wp:posOffset>
                </wp:positionH>
                <wp:positionV relativeFrom="line">
                  <wp:posOffset>635</wp:posOffset>
                </wp:positionV>
                <wp:extent cx="6480175" cy="175260"/>
                <wp:effectExtent l="0" t="0" r="0" b="0"/>
                <wp:wrapNone/>
                <wp:docPr id="212"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16 –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Lead pigment litigation – NL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NL’s former operations included the manufacture of lead pigments for use in paint and lead-based paint. NL, other former manufacturers of lead pigments for use in paint and lead-based paint (together, the “former pigment manufacturers”), and the Lead Industries Association (“LIA”), which discontinued business operations in 2002, have previously been named as defendants in various legal proceedings seeking damages for personal injury, property damage and governmental expenditures allegedly caused by the use of lead-based paints. Certain of these actions were filed by or on behalf of states, counties, cities or their public housing authorities and school districts, and certain others were asserted as class actions. NL currently has no pending lead paint class action cases or pending lead paint cases brought by housing authorities, school districts or other government entities.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New cases may continue to be filed against NL. We do not know if we will incur liability in the future in respect to any of the pending or possible litigation in view of the inherent uncertainties involved in court and jury rulings. In the future, if new information regarding such matters becomes available to us (such as a final, non-appealable adverse verdict against NL or otherwise ultimately being found liable with respect to such matters), at that time we would consider such information in evaluating any remaining cases then-pending against NL as to whether it might then have become probable we have incurred liability with respect to these matters, and whether such liability, if any, could have become reasonably estimable. The resolution of any of these cases could result in the recognition of a loss contingency accrual that could have a material adverse impact on our net income for the interim or annual period during which such liability is recognized and a material adverse impact on our consolidated financial condition and liquidity.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Environmental matters and litigation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operations are governed by various environmental laws and regulations. Certain of our businesses are and have been engaged in the handling, manufacture or use of substances or compounds that may be considered toxic or hazardous within the meaning of applicable environmental laws and regulations. As with other companies engaged in similar businesses, certain of our past and current operations and products have the potential to cause environmental or other damage. Our businesses have implemented and continue to implement various policies and programs in an effort to minimize these risks. Our policy is to maintain compliance with applicable environmental laws and regulations at all of our plants and to strive to improve environmental performance and overall sustainability. Periodically we produce our Kronos Environmental Social Governance Report, which highlights Kronos’ focus on sustainability of its manufacturing operations, as well as its environmental, social and governance strategy. From time to time, our businesses may be subject to environmental regulatory enforcement under U.S. and non-U.S. statutes, the resolution of which typically involves the establishment or enhancement of compliance programs. It is possible that future developments, such as stricter requirements of environmental laws and enforcement policies, could adversely affect our production, handling, use, storage, transportation, sale or disposal of such substances. We believe all of our facilities are in substantial compliance with applicable environmental laws.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Certain properties and facilities used in our former operations (primarily NL’s former operations), including divested primary and secondary lead smelters and former mining locations, are the subject of civil litigation, administrative proceedings or investigations arising under federal and state environmental laws and common law. Additionally, in connection with past operating practices, we are currently involved as a defendant, potentially responsible party (“PRP”) or both, pursuant to the Comprehensive Environmental Response, Compensation and Liability Act, as amended by the Superfund Amendments and Reauthorization Act (“CERCLA”), and similar state laws in various governmental and private actions associated with waste disposal sites, mining locations, and facilities that we or our predecessors, and NL or its predecessors, our subsidiaries or their predecessors currently or previously owned, operated or used, certain of which are on the United States Environmental Protection Agency’s (“EPA”) Superfund National Priorities List or similar state lists. These proceedings seek cleanup costs, damages for personal injury or property damage and/or damages for injury to natural resources. Certain of these proceedings involve claims for substantial amounts. Although we may be jointly and severally liable for these costs, in most cases we are only one of a number of PRPs who may also be jointly and severally liable, and among whom costs may be shared or allocated. In addition, we are occasionally named as a party in a number of personal injury lawsuits filed in various jurisdictions alleging claims related to environmental conditions alleged to have resulted from our operations.</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14">
                <wp:simplePos x="0" y="0"/>
                <wp:positionH relativeFrom="page">
                  <wp:posOffset>0</wp:posOffset>
                </wp:positionH>
                <wp:positionV relativeFrom="line">
                  <wp:posOffset>635</wp:posOffset>
                </wp:positionV>
                <wp:extent cx="6480175" cy="175260"/>
                <wp:effectExtent l="0" t="0" r="0" b="0"/>
                <wp:wrapNone/>
                <wp:docPr id="213"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00"/>
        <w:ind w:left="0" w:right="0" w:firstLine="720"/>
        <w:jc w:val="both"/>
        <w:rPr>
          <w:rFonts w:ascii="Times New Roman;Times;serif" w:hAnsi="Times New Roman;Times;serif"/>
          <w:sz w:val="20"/>
        </w:rPr>
      </w:pPr>
      <w:bookmarkStart w:id="996" w:name="Tc_BxUmioLVe0GGUgX4YQo3WA_11_2"/>
      <w:bookmarkStart w:id="997" w:name="Tc_pSby5geDPkuM6J1LGu51VA_11_0"/>
      <w:bookmarkStart w:id="998" w:name="Tc_KvwNRqWWzkiMqnZqZlqSdw_10_0"/>
      <w:bookmarkStart w:id="999" w:name="Tc_l4wYj5_41k2JrpPKV68vnA_9_2"/>
      <w:bookmarkStart w:id="1000" w:name="Tc_QJV6wDqNV0SdrXLvTjqJbw_9_0"/>
      <w:bookmarkStart w:id="1001" w:name="Tc_sxQsC7qlIkaOR8DBIcSHSA_8_0"/>
      <w:bookmarkStart w:id="1002" w:name="Tc_ium61OdLDUiIp8Kz9oRJhA_7_2"/>
      <w:bookmarkStart w:id="1003" w:name="Tc_gGdzL51lgkWP4im1Hbfysg_7_0"/>
      <w:bookmarkStart w:id="1004" w:name="Tc_jVlHEs6bM0eob7bK8C1iBQ_6_0"/>
      <w:bookmarkStart w:id="1005" w:name="Tc_MfOgG3D4xEuqihVOQB4pNw_5_0"/>
      <w:bookmarkStart w:id="1006" w:name="Tc_wDJqHf6e8UyWROAMcOy1TQ_4_2"/>
      <w:bookmarkStart w:id="1007" w:name="Tc_Jai9vQE9t0yK3AzRpdkzRQ_4_0"/>
      <w:bookmarkStart w:id="1008" w:name="Tc_3sUiZZKf-E-UZkJxiTeZqw_2_2"/>
      <w:bookmarkStart w:id="1009" w:name="Tc_zLZlyliW4US8vzASLgAWQQ_1_2"/>
      <w:bookmarkStart w:id="1010" w:name="_e2a765de_8954_4fee_b2c4_da72c18c5818"/>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r>
        <w:rPr>
          <w:rFonts w:ascii="Times New Roman;Times;serif" w:hAnsi="Times New Roman;Times;serif"/>
          <w:sz w:val="20"/>
        </w:rPr>
        <w:t>Obligations associated with environmental remediation and related matters are difficult to assess and estimate for numerous reasons including the:</w:t>
      </w:r>
    </w:p>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complexity and differing interpretations of governmental regulations,</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PRPs and their ability or willingness to fund such allocation of costs,</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capabilities of the PRPs and the allocation of costs among them,</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solvency of other PRPs,</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multiplicity of possible solutions,</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years of investigatory, remedial and monitoring activity required,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over the extent, if any, to which our former operations might have contributed to the conditions allegedly giving rise to such personal injury, property damage, natural resource and related claims,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years between former operations and notice of claims and lack of information and documents about the former operations.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imposition of more stringent standards or requirements under environmental laws or regulations, new developments or changes regarding site cleanup costs or the allocation of costs among PRPs, solvency of other PRPs, the results of future testing and analysis undertaken with respect to certain sites or a determination that we are potentially responsible for the release of hazardous substances at other sites, could cause our expenditures to exceed our current estimates. Actual costs could exceed accrued amounts or the upper end of the range for sites for which estimates have been made, and costs may be incurred for sites where no estimates presently can be made. Further, additional environmental and related matters may arise in the future. If we were to incur any future liability, this could have a material adverse effect on our Condensed Consolidated Financial statements, results of operations and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 liabilities related to environmental remediation and related matters (including costs associated with damages for personal injury or property damage and/or damages for injury to natural resources) when estimated future expenditures are probable and reasonably estimable. We adjust such accruals as further information becomes available to us or as circumstances change. Unless the amounts and timing of such estimated future expenditures are fixed and reasonably determinable, we generally do not discount estimated future expenditures to their present value due to the uncertainty of the timing of the payout. We recognize recoveries of costs from other parties, if any, as assets when their receipt is deemed probable.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know and cannot estimate the exact time frame over which we will make payments for our accrued environmental and related costs. The timing of payments depends upon a number of factors, including but not limited to the timing of the actual remediation process; which in turn depends on factors outside of our control. At each balance sheet date, we estimate the amount of the accrued environmental and related costs which we expect to pay within the next twelve months, and we classify this estimate as a current liability. We classify the remaining accrued environmental costs as a noncurrent 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below presents a summary of the activity in our accrued environmental costs during the first three months of 2026.</w:t>
      </w:r>
    </w:p>
    <w:tbl>
      <w:tblPr>
        <w:tblW w:w="7187" w:type="dxa"/>
        <w:jc w:val="left"/>
        <w:tblInd w:w="0" w:type="dxa"/>
        <w:tblLayout w:type="fixed"/>
        <w:tblCellMar>
          <w:top w:w="0" w:type="dxa"/>
          <w:left w:w="0" w:type="dxa"/>
          <w:bottom w:w="0" w:type="dxa"/>
          <w:right w:w="0" w:type="dxa"/>
        </w:tblCellMar>
      </w:tblPr>
      <w:tblGrid>
        <w:gridCol w:w="5656"/>
        <w:gridCol w:w="346"/>
        <w:gridCol w:w="318"/>
        <w:gridCol w:w="867"/>
      </w:tblGrid>
      <w:tr>
        <w:trPr/>
        <w:tc>
          <w:tcPr>
            <w:tcW w:w="5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591560" cy="175260"/>
                      <wp:effectExtent l="0" t="0" r="0" b="0"/>
                      <wp:wrapNone/>
                      <wp:docPr id="214" name="Frame214"/>
                      <a:graphic xmlns:a="http://schemas.openxmlformats.org/drawingml/2006/main">
                        <a:graphicData uri="http://schemas.microsoft.com/office/word/2010/wordprocessingShape">
                          <wps:wsp>
                            <wps:cNvSpPr txBox="1"/>
                            <wps:spPr>
                              <a:xfrm>
                                <a:off x="0" y="0"/>
                                <a:ext cx="3591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1930" cy="175260"/>
                      <wp:effectExtent l="0" t="0" r="0" b="0"/>
                      <wp:wrapNone/>
                      <wp:docPr id="216" name="Frame216"/>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50545" cy="175260"/>
                      <wp:effectExtent l="0" t="0" r="0" b="0"/>
                      <wp:wrapNone/>
                      <wp:docPr id="217" name="Frame217"/>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5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5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18"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left"/>
              <w:rPr/>
            </w:pPr>
            <w:r>
              <w:rPr/>
              <w:t>​</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beginning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17.5</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charged to expense, net</w:t>
            </w:r>
          </w:p>
        </w:tc>
        <w:tc>
          <w:tcPr>
            <w:tcW w:w="34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net</w:t>
            </w:r>
          </w:p>
        </w:tc>
        <w:tc>
          <w:tcPr>
            <w:tcW w:w="346" w:type="dxa"/>
            <w:tcBorders/>
            <w:shd w:fill="CCEEFF" w:val="clear"/>
            <w:vAlign w:val="center"/>
          </w:tcPr>
          <w:p>
            <w:pPr>
              <w:pStyle w:val="TableContents"/>
              <w:bidi w:val="0"/>
              <w:spacing w:before="0" w:after="1"/>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end of the period</w:t>
            </w:r>
          </w:p>
        </w:tc>
        <w:tc>
          <w:tcPr>
            <w:tcW w:w="346" w:type="dxa"/>
            <w:tcBorders/>
            <w:vAlign w:val="center"/>
          </w:tcPr>
          <w:p>
            <w:pPr>
              <w:pStyle w:val="TableContents"/>
              <w:bidi w:val="0"/>
              <w:spacing w:before="0" w:after="1"/>
              <w:ind w:left="0" w:right="0" w:hanging="0"/>
              <w:jc w:val="left"/>
              <w:rPr/>
            </w:pPr>
            <w:r>
              <w:rPr/>
              <w:t>​</w:t>
            </w:r>
          </w:p>
        </w:tc>
        <w:tc>
          <w:tcPr>
            <w:tcW w:w="3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17.5</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Amounts recognized in the Condensed Consolidated Balance Sheet </w:t>
              <w:br/>
              <w:t>  at the end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pPr>
            <w:r>
              <w:rPr/>
              <w:t>  ​</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14.6</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3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17.5</w:t>
            </w:r>
          </w:p>
        </w:tc>
      </w:tr>
    </w:tbl>
    <w:p>
      <w:pPr>
        <w:pStyle w:val="TextBody"/>
        <w:bidi w:val="0"/>
        <w:spacing w:before="0" w:after="0"/>
        <w:ind w:left="0" w:right="0" w:hanging="0"/>
        <w:jc w:val="left"/>
        <w:rPr/>
      </w:pPr>
      <w:r>
        <w:rPr/>
        <w:t>​</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 xml:space="preserve">NL – </w:t>
      </w:r>
      <w:r>
        <w:rPr>
          <w:rFonts w:ascii="Times New Roman;Times;serif" w:hAnsi="Times New Roman;Times;serif"/>
          <w:sz w:val="20"/>
        </w:rPr>
        <w:t xml:space="preserve">On a quarterly basis, NL evaluates the potential range of its liability for environmental remediation and related costs at sites where it has been named as a PRP or defendant. At March 31, 2026, NL had accrued approximately $13 million related to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19">
                <wp:simplePos x="0" y="0"/>
                <wp:positionH relativeFrom="page">
                  <wp:posOffset>0</wp:posOffset>
                </wp:positionH>
                <wp:positionV relativeFrom="line">
                  <wp:posOffset>635</wp:posOffset>
                </wp:positionV>
                <wp:extent cx="6480175" cy="175260"/>
                <wp:effectExtent l="0" t="0" r="0" b="0"/>
                <wp:wrapNone/>
                <wp:docPr id="218"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approximately 27 sites associated with remediation and related matters it believes are at the present time and/or in their current phase reasonably estimable. The upper end of the range of reasonably possible costs to NL for remediation and related matters for which NL believes it is possible to estimate costs is approximately $38 million, including the amount currently accrued.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NL believes that it is not reasonably possible to estimate the range of costs for certain sites. At March 31, 2026, there were approximately five sites for which NL is not currently able to reasonably estimate a range of costs. For these sites, generally the investigation is in the early stages, and NL is unable to determine whether or not NL actually had any association with the site, the nature of its responsibility, if any, for the contamination at the site, if any, and the extent of contamination at and cost to remediate the site. The timing and availability of information on these sites is dependent on events outside of NL’s control, such as when the party alleging liability provides information to NL. At certain of these previously inactive sites, NL has received general and special notices of liability from the EPA and/or state agencies alleging that NL, sometimes with other PRPs, is liable for past and future costs of remediating environmental contamination allegedly caused by former operations. These notifications may assert that NL, along with any other alleged PRPs, is liable for past and/or future clean-up costs. As further information becomes available to us for any of these sites which would allow us to estimate a range of costs, we would at that time adjust our accruals. Any such adjustment could result in the recognition of an accrual that would have a material effect on our consolidated financial statements, results of operations and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Other</w:t>
      </w:r>
      <w:r>
        <w:rPr>
          <w:rFonts w:ascii="Times New Roman;Times;serif" w:hAnsi="Times New Roman;Times;serif"/>
          <w:sz w:val="20"/>
        </w:rPr>
        <w:t> – We have also accrued approximately $5 million at March 31, 2026 for other environmental cleanup matters which represents our best estimate of the liability.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Insurance coverage claims – NL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NL is involved in certain legal proceedings with a number of its former insurance carriers regarding the nature and extent of the carriers’ obligations to NL under insurance policies with respect to certain lead pigment and asbestos lawsuits. The issue of whether insurance coverage for defense costs or indemnity or both will be found to exist for NL’s lead pigment and asbestos litigation depends upon a variety of factors, and we cannot assure you that such insurance coverage will be available.</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NL has agreements with certain of its former insurance carriers pursuant to which the carriers reimburse it for a portion of its future lead pigment litigation defense costs and one such carrier reimburses us for a portion of NL’s future asbestos litigation defense costs. We are not able to determine how much NL will ultimately recover from these carriers for defense costs incurred by NL because of certain issues that arise regarding which defense costs qualify for reimbursement. While NL continues to seek additional insurance recoveries, we do not know if we will be successful in obtaining reimbursement for either defense costs or indemnity. Accordingly, we recognize insurance recoveries in income only when receipt of the recovery is probable and we are able to reasonably estimate the amount of the recovery.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complete discussion of certain litigation involving NL and certain of its former insurance carriers, refer to our 2025 Annual Report.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litigation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to the litigation described above, we and our affiliates are involved in various other environmental, contractual, product liability, patent (or intellectual property), employment and other claims and disputes incidental to our present and former businesses. In certain cases, we have insurance coverage for these items, although we do not expect additional material insurance coverage for our environmental matters. We currently believe the disposition of all of these various other claims and disputes (including asbestos-related claims), individually or in the aggregate, should not have a material adverse effect on our consolidated financial position, results of operations or liquidity beyond the accruals already provided.</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20">
                <wp:simplePos x="0" y="0"/>
                <wp:positionH relativeFrom="page">
                  <wp:posOffset>0</wp:posOffset>
                </wp:positionH>
                <wp:positionV relativeFrom="line">
                  <wp:posOffset>635</wp:posOffset>
                </wp:positionV>
                <wp:extent cx="6480175" cy="175260"/>
                <wp:effectExtent l="0" t="0" r="0" b="0"/>
                <wp:wrapNone/>
                <wp:docPr id="219"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b/>
          <w:sz w:val="20"/>
        </w:rPr>
      </w:pPr>
      <w:bookmarkStart w:id="1011" w:name="Tc_opLxvrRSdUu4t-jT0sfeCg_9_0"/>
      <w:bookmarkStart w:id="1012" w:name="Tc_otDOjnHDlk2V7jNJiGyWKA_8_6"/>
      <w:bookmarkStart w:id="1013" w:name="Tc_Q1OynMmF2kuaV96etmyIGQ_8_3"/>
      <w:bookmarkStart w:id="1014" w:name="Tc_9Cd-rzA2bEC3GXb7L7auVA_8_0"/>
      <w:bookmarkStart w:id="1015" w:name="Tc_3FSA0wbWj0unYvdh8dfPOA_7_0"/>
      <w:bookmarkStart w:id="1016" w:name="Tc_EEdf9BHJFE2GmFXqY110bA_6_0"/>
      <w:bookmarkStart w:id="1017" w:name="Tc__3LObkXe7U-aw25BAreb9w_5_11"/>
      <w:bookmarkStart w:id="1018" w:name="Tc_tvG5IJ2ZS0GQMqxWDm1vEQ_5_8"/>
      <w:bookmarkStart w:id="1019" w:name="Tc_ALB-hpc1-UuXYcMCaqbkgA_5_5"/>
      <w:bookmarkStart w:id="1020" w:name="Tc_3LW6tWySBkOj3w51IZRbqg_5_2"/>
      <w:bookmarkStart w:id="1021" w:name="Tc_THLFrLVLfEuzB79J8SuZuw_5_0"/>
      <w:bookmarkStart w:id="1022" w:name="Tc_7K22Enlnak2Ufg82NyYEIg_4_2"/>
      <w:bookmarkStart w:id="1023" w:name="Tc_9RfQGGU5UkSoge8jza5laQ_3_11"/>
      <w:bookmarkStart w:id="1024" w:name="Tc_Q8axvpSdT0KBI6UjQ_XRuw_3_8"/>
      <w:bookmarkStart w:id="1025" w:name="Tc_2qCAUE-EQkmU2c5re7R5lw_3_5"/>
      <w:bookmarkStart w:id="1026" w:name="Tc_9f87n58GIEydRcE_rRLTBA_3_2"/>
      <w:bookmarkStart w:id="1027" w:name="Tc_aPidbpT330OW-Ftc5ec6Bw_2_11"/>
      <w:bookmarkStart w:id="1028" w:name="Tc_ay8iDpkcgE-naBll0Jwdyw_2_8"/>
      <w:bookmarkStart w:id="1029" w:name="Tc_PlFhQcsAgEyjkfysGcBBmA_2_5"/>
      <w:bookmarkStart w:id="1030" w:name="Tc_60X62pxhxEqQjn81wuVaBg_2_2"/>
      <w:bookmarkStart w:id="1031" w:name="Tc_EH1LksJfVESwHs6QYmZscA_1_8"/>
      <w:bookmarkStart w:id="1032" w:name="Tc_YkCp-mdMn0OUE3Ubf7E2MQ_1_2"/>
      <w:bookmarkStart w:id="1033" w:name="Tc_30d_Ta3s8k64CzST5aReQQ_14_11"/>
      <w:bookmarkStart w:id="1034" w:name="Tc_ufhxCHsSYk6KWshxT8cLaQ_14_0"/>
      <w:bookmarkStart w:id="1035" w:name="Tc_yCvbK4eAqkOeRGBsKZ0xxw_13_11"/>
      <w:bookmarkStart w:id="1036" w:name="Tc_-2QD7kXZJUmSIPbae44LNA_13_10"/>
      <w:bookmarkStart w:id="1037" w:name="Tc_9GjsCu59CUqhY6VylrFTBA_13_7"/>
      <w:bookmarkStart w:id="1038" w:name="Tc_TQA1mWEerkWPOZ11kgCFUA_13_5"/>
      <w:bookmarkStart w:id="1039" w:name="Tc_I-_nPNu0_k2LPLtzPsntZg_13_4"/>
      <w:bookmarkStart w:id="1040" w:name="Tc_4yGoQw_CAEKKGwWcxrSqzQ_13_1"/>
      <w:bookmarkStart w:id="1041" w:name="Tc_zyBZZfbZmUer5Qj8xxGhHw_13_0"/>
      <w:bookmarkStart w:id="1042" w:name="Tc_T1UHFGRWuk-CbUNDlmNzLQ_12_0"/>
      <w:bookmarkStart w:id="1043" w:name="Tc_ZNN50Y80vUmagrFBqt2BQw_11_11"/>
      <w:bookmarkStart w:id="1044" w:name="Tc_nt7km4c2GE6ac-wETykxYw_11_0"/>
      <w:bookmarkStart w:id="1045" w:name="Tc_Rl5Yg3Xj806q3aAGfX-itw_10_11"/>
      <w:bookmarkStart w:id="1046" w:name="Tc_92fo8P2LqE2soHd_CPQ5tA_10_10"/>
      <w:bookmarkStart w:id="1047" w:name="Tc_IGLvHWO19Em0vCbS4monUw_10_7"/>
      <w:bookmarkStart w:id="1048" w:name="Tc_qo4coAINk02LDlD8yGuSig_10_5"/>
      <w:bookmarkStart w:id="1049" w:name="Tc_fF0do1yVmUaa8CN8q3ENfQ_10_4"/>
      <w:bookmarkStart w:id="1050" w:name="Tc_QaUr6A9x6kqgSJE6JPmCfQ_10_1"/>
      <w:bookmarkStart w:id="1051" w:name="Tc_k8PHxyQsQEGgCf4mQaPGdA_10_0"/>
      <w:bookmarkStart w:id="1052" w:name="Tc_hB3aBPs86EKinmT5xSbbzA_9_0"/>
      <w:bookmarkStart w:id="1053" w:name="Tc_njL9LmIQ6EGteTvO2PDgxA_8_0"/>
      <w:bookmarkStart w:id="1054" w:name="Tc_b08RCU1paUGOoyBLTab6Wg_7_1"/>
      <w:bookmarkStart w:id="1055" w:name="Tc_F_wU1avsYUCTaAETgR87nQ_6_11"/>
      <w:bookmarkStart w:id="1056" w:name="Tc__xpgn-8Nh062vhAdEUdo0A_6_8"/>
      <w:bookmarkStart w:id="1057" w:name="Tc_eYHXfIsYvkSWSgvk_yuqhA_6_5"/>
      <w:bookmarkStart w:id="1058" w:name="Tc_ScxCGHIhpkuIeGdnFzuI5w_6_2"/>
      <w:bookmarkStart w:id="1059" w:name="Tc_bWZNytpcwk-YQH2vMQUAqw_5_11"/>
      <w:bookmarkStart w:id="1060" w:name="Tc_90pYGC3U8UaPT5X4KsF4ng_5_8"/>
      <w:bookmarkStart w:id="1061" w:name="Tc_6bt1eLQm8k-9Ffs09NV51w_5_5"/>
      <w:bookmarkStart w:id="1062" w:name="Tc_6E34YHyKnkmUBu5o2AW9uw_4_11"/>
      <w:bookmarkStart w:id="1063" w:name="Tc_Ca07AtoC9EWkEjz0YjChEQ_4_8"/>
      <w:bookmarkStart w:id="1064" w:name="Tc_tUKExW0OtkmxfMgSk5weKQ_4_5"/>
      <w:bookmarkStart w:id="1065" w:name="Tc_dE74H86WZE-334MwCeK_Bg_3_11"/>
      <w:bookmarkStart w:id="1066" w:name="Tc__ewcAwYfbU6au6-2xJp5OA_3_8"/>
      <w:bookmarkStart w:id="1067" w:name="Tc_gIkgcDMf_0SzXa6asX30ig_3_5"/>
      <w:bookmarkStart w:id="1068" w:name="Tc_Hg8StVZauEWbTqqHw5BBdw_2_8"/>
      <w:bookmarkStart w:id="1069" w:name="Tc_qpNnyOxIlku0ypT7rmDvVw_2_5"/>
      <w:bookmarkStart w:id="1070" w:name="Tc_5biA1EI0m0WwRZPNSGbk3g_1_1"/>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r>
        <w:rPr>
          <w:rFonts w:ascii="Times New Roman;Times;serif" w:hAnsi="Times New Roman;Times;serif"/>
          <w:b/>
          <w:sz w:val="20"/>
        </w:rPr>
        <w:t>Note 17 – Fair value measurements and financial instruments: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valuation of our financial instruments recorded on a fair value basis as of December 31, 2025 and March 31, 2026:</w:t>
      </w:r>
    </w:p>
    <w:p>
      <w:pPr>
        <w:pStyle w:val="TextBody"/>
        <w:bidi w:val="0"/>
        <w:spacing w:before="0" w:after="0"/>
        <w:ind w:left="0" w:right="0" w:hanging="0"/>
        <w:jc w:val="left"/>
        <w:rPr/>
      </w:pPr>
      <w:r>
        <w:rPr/>
        <w:t>​</w:t>
      </w:r>
    </w:p>
    <w:tbl>
      <w:tblPr>
        <w:tblW w:w="7791" w:type="dxa"/>
        <w:jc w:val="left"/>
        <w:tblInd w:w="0" w:type="dxa"/>
        <w:tblLayout w:type="fixed"/>
        <w:tblCellMar>
          <w:top w:w="0" w:type="dxa"/>
          <w:left w:w="0" w:type="dxa"/>
          <w:bottom w:w="0" w:type="dxa"/>
          <w:right w:w="0" w:type="dxa"/>
        </w:tblCellMar>
      </w:tblPr>
      <w:tblGrid>
        <w:gridCol w:w="2836"/>
        <w:gridCol w:w="211"/>
        <w:gridCol w:w="571"/>
        <w:gridCol w:w="109"/>
        <w:gridCol w:w="211"/>
        <w:gridCol w:w="856"/>
        <w:gridCol w:w="109"/>
        <w:gridCol w:w="211"/>
        <w:gridCol w:w="1066"/>
        <w:gridCol w:w="109"/>
        <w:gridCol w:w="211"/>
        <w:gridCol w:w="1291"/>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800860" cy="175260"/>
                      <wp:effectExtent l="0" t="0" r="0" b="0"/>
                      <wp:wrapNone/>
                      <wp:docPr id="220" name="Frame220"/>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62585" cy="175260"/>
                      <wp:effectExtent l="0" t="0" r="0" b="0"/>
                      <wp:wrapNone/>
                      <wp:docPr id="222" name="Frame2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43560" cy="175260"/>
                      <wp:effectExtent l="0" t="0" r="0" b="0"/>
                      <wp:wrapNone/>
                      <wp:docPr id="225" name="Frame22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76910" cy="175260"/>
                      <wp:effectExtent l="0" t="0" r="0" b="0"/>
                      <wp:wrapNone/>
                      <wp:docPr id="228" name="Frame228"/>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260"/>
                      <wp:effectExtent l="0" t="0" r="0" b="0"/>
                      <wp:wrapNone/>
                      <wp:docPr id="229"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819785" cy="175260"/>
                      <wp:effectExtent l="0" t="0" r="0" b="0"/>
                      <wp:wrapNone/>
                      <wp:docPr id="231" name="Frame231"/>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495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 Measurements</w:t>
            </w:r>
          </w:p>
        </w:tc>
      </w:tr>
      <w:tr>
        <w:trPr/>
        <w:tc>
          <w:tcPr>
            <w:tcW w:w="28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Quoted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Significant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prices in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other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Significant </w:t>
            </w:r>
          </w:p>
        </w:tc>
      </w:tr>
      <w:tr>
        <w:trPr/>
        <w:tc>
          <w:tcPr>
            <w:tcW w:w="28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active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observable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unobservable</w:t>
            </w:r>
          </w:p>
        </w:tc>
      </w:tr>
      <w:tr>
        <w:trPr/>
        <w:tc>
          <w:tcPr>
            <w:tcW w:w="28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input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inputs</w:t>
            </w:r>
          </w:p>
        </w:tc>
      </w:tr>
      <w:tr>
        <w:trPr/>
        <w:tc>
          <w:tcPr>
            <w:tcW w:w="283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r>
      <w:tr>
        <w:trPr/>
        <w:tc>
          <w:tcPr>
            <w:tcW w:w="7791"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left"/>
              <w:rPr/>
            </w:pPr>
            <w:r>
              <w:rPr/>
              <w:t>​</w:t>
            </w:r>
          </w:p>
        </w:tc>
        <w:tc>
          <w:tcPr>
            <w:tcW w:w="4955"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(liability)</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marketable securities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0"/>
              <w:ind w:left="0" w:right="0" w:hanging="0"/>
              <w:jc w:val="righ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Noncurrent marketable securities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March 31, 2026:</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marketable securities</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91" w:type="dxa"/>
            <w:tcBorders/>
            <w:vAlign w:val="center"/>
          </w:tcPr>
          <w:p>
            <w:pPr>
              <w:pStyle w:val="TableContents"/>
              <w:bidi w:val="0"/>
              <w:spacing w:before="0" w:after="0"/>
              <w:ind w:left="0" w:right="0" w:hanging="0"/>
              <w:jc w:val="righ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Noncurrent marketable securities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See Note 5 for amounts related to our marketable securities.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the financial instruments that are not carried at fair value but which require fair value disclosure:</w:t>
      </w:r>
    </w:p>
    <w:p>
      <w:pPr>
        <w:pStyle w:val="TextBody"/>
        <w:bidi w:val="0"/>
        <w:spacing w:before="0" w:after="0"/>
        <w:ind w:left="0" w:right="0" w:hanging="0"/>
        <w:jc w:val="left"/>
        <w:rPr/>
      </w:pPr>
      <w:r>
        <w:rPr/>
        <w:t>​</w:t>
      </w:r>
    </w:p>
    <w:tbl>
      <w:tblPr>
        <w:tblW w:w="9014" w:type="dxa"/>
        <w:jc w:val="left"/>
        <w:tblInd w:w="0" w:type="dxa"/>
        <w:tblLayout w:type="fixed"/>
        <w:tblCellMar>
          <w:top w:w="0" w:type="dxa"/>
          <w:left w:w="0" w:type="dxa"/>
          <w:bottom w:w="0" w:type="dxa"/>
          <w:right w:w="0" w:type="dxa"/>
        </w:tblCellMar>
      </w:tblPr>
      <w:tblGrid>
        <w:gridCol w:w="4666"/>
        <w:gridCol w:w="346"/>
        <w:gridCol w:w="243"/>
        <w:gridCol w:w="658"/>
        <w:gridCol w:w="112"/>
        <w:gridCol w:w="217"/>
        <w:gridCol w:w="589"/>
        <w:gridCol w:w="346"/>
        <w:gridCol w:w="243"/>
        <w:gridCol w:w="658"/>
        <w:gridCol w:w="109"/>
        <w:gridCol w:w="211"/>
        <w:gridCol w:w="616"/>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962910" cy="175260"/>
                      <wp:effectExtent l="0" t="0" r="0" b="0"/>
                      <wp:wrapNone/>
                      <wp:docPr id="232" name="Frame232"/>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54305" cy="175260"/>
                      <wp:effectExtent l="0" t="0" r="0" b="0"/>
                      <wp:wrapNone/>
                      <wp:docPr id="234" name="Frame234"/>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17830" cy="175260"/>
                      <wp:effectExtent l="0" t="0" r="0" b="0"/>
                      <wp:wrapNone/>
                      <wp:docPr id="235" name="Frame235"/>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71120" cy="175260"/>
                      <wp:effectExtent l="0" t="0" r="0" b="0"/>
                      <wp:wrapNone/>
                      <wp:docPr id="236" name="Frame236"/>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7795" cy="175260"/>
                      <wp:effectExtent l="0" t="0" r="0" b="0"/>
                      <wp:wrapNone/>
                      <wp:docPr id="237" name="Frame23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74015" cy="175260"/>
                      <wp:effectExtent l="0" t="0" r="0" b="0"/>
                      <wp:wrapNone/>
                      <wp:docPr id="238" name="Frame238"/>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54305" cy="175260"/>
                      <wp:effectExtent l="0" t="0" r="0" b="0"/>
                      <wp:wrapNone/>
                      <wp:docPr id="240" name="Frame240"/>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17830" cy="175260"/>
                      <wp:effectExtent l="0" t="0" r="0" b="0"/>
                      <wp:wrapNone/>
                      <wp:docPr id="241" name="Frame241"/>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2" name="Frame2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91160" cy="175260"/>
                      <wp:effectExtent l="0" t="0" r="0" b="0"/>
                      <wp:wrapNone/>
                      <wp:docPr id="244" name="Frame24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81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1"/>
              <w:ind w:left="0" w:right="0" w:hanging="0"/>
              <w:jc w:val="left"/>
              <w:rPr/>
            </w:pPr>
            <w:r>
              <w:rPr/>
              <w:t>  ​ ​ ​</w:t>
            </w:r>
          </w:p>
        </w:tc>
        <w:tc>
          <w:tcPr>
            <w:tcW w:w="183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2026</w:t>
            </w:r>
          </w:p>
        </w:tc>
      </w:tr>
      <w:tr>
        <w:trPr/>
        <w:tc>
          <w:tcPr>
            <w:tcW w:w="4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112" w:type="dxa"/>
            <w:tcBorders/>
            <w:vAlign w:val="center"/>
          </w:tcPr>
          <w:p>
            <w:pPr>
              <w:pStyle w:val="TableContents"/>
              <w:bidi w:val="0"/>
              <w:spacing w:before="0" w:after="1"/>
              <w:ind w:left="0" w:right="0" w:hanging="0"/>
              <w:jc w:val="left"/>
              <w:rPr/>
            </w:pPr>
            <w:r>
              <w:rPr/>
              <w:t>​</w:t>
            </w:r>
          </w:p>
        </w:tc>
        <w:tc>
          <w:tcPr>
            <w:tcW w:w="80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109" w:type="dxa"/>
            <w:tcBorders/>
            <w:vAlign w:val="center"/>
          </w:tcPr>
          <w:p>
            <w:pPr>
              <w:pStyle w:val="TableContents"/>
              <w:bidi w:val="0"/>
              <w:spacing w:before="0" w:after="1"/>
              <w:ind w:left="0" w:right="0" w:hanging="0"/>
              <w:jc w:val="left"/>
              <w:rPr/>
            </w:pPr>
            <w:r>
              <w:rPr/>
              <w:t>​</w:t>
            </w:r>
          </w:p>
        </w:tc>
        <w:tc>
          <w:tcPr>
            <w:tcW w:w="82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w:t>
            </w:r>
          </w:p>
        </w:tc>
      </w:tr>
      <w:tr>
        <w:trPr/>
        <w:tc>
          <w:tcPr>
            <w:tcW w:w="4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112" w:type="dxa"/>
            <w:tcBorders/>
            <w:vAlign w:val="center"/>
          </w:tcPr>
          <w:p>
            <w:pPr>
              <w:pStyle w:val="TableContents"/>
              <w:bidi w:val="0"/>
              <w:spacing w:before="0" w:after="1"/>
              <w:ind w:left="0" w:right="0" w:hanging="0"/>
              <w:jc w:val="left"/>
              <w:rPr/>
            </w:pPr>
            <w:r>
              <w:rPr/>
              <w:t>​</w:t>
            </w:r>
          </w:p>
        </w:tc>
        <w:tc>
          <w:tcPr>
            <w:tcW w:w="8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109" w:type="dxa"/>
            <w:tcBorders/>
            <w:vAlign w:val="center"/>
          </w:tcPr>
          <w:p>
            <w:pPr>
              <w:pStyle w:val="TableContents"/>
              <w:bidi w:val="0"/>
              <w:spacing w:before="0" w:after="1"/>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901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002"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228.7</w:t>
            </w:r>
          </w:p>
        </w:tc>
        <w:tc>
          <w:tcPr>
            <w:tcW w:w="112"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228.7</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215.1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215.1</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pPr>
            <w:r>
              <w:rPr/>
              <w:t>​</w:t>
            </w:r>
          </w:p>
        </w:tc>
        <w:tc>
          <w:tcPr>
            <w:tcW w:w="112"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58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pPr>
            <w:r>
              <w:rPr/>
              <w:t>  ​</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Kronos fixed rate 9.50% Senior Secured Notes due 2029</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503.7</w:t>
            </w:r>
          </w:p>
        </w:tc>
        <w:tc>
          <w:tcPr>
            <w:tcW w:w="112"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469.9</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490.9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416.7</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Kronos revolving credit facility</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w:t>
            </w:r>
          </w:p>
        </w:tc>
        <w:tc>
          <w:tcPr>
            <w:tcW w:w="112"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58.1</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LandWell bank note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112"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10.7</w:t>
            </w:r>
          </w:p>
        </w:tc>
      </w:tr>
    </w:tbl>
    <w:p>
      <w:pPr>
        <w:pStyle w:val="TextBody"/>
        <w:bidi w:val="0"/>
        <w:spacing w:before="0" w:after="0"/>
        <w:ind w:left="0" w:right="0" w:hanging="0"/>
        <w:jc w:val="left"/>
        <w:rPr/>
      </w:pPr>
      <w:r>
        <w:rPr/>
        <w:t>​</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At December 31, 2025 and March 31, 2026, the estimated market prices of Kronos’ 9.50% Senior Secured Notes due 2029 were €937 and €853 per €1,000 principal amount, respectively. The fair value of Kronos’ Senior Secured Notes due 2029 was based on quoted market prices; however, these prices represented Level 2 inputs because the market in which the notes trade was not active. Due to the variable interest rate, the carrying amount </w:t>
      </w:r>
      <w:r>
        <w:rPr>
          <w:rFonts w:ascii="Times New Roman;Times;serif" w:hAnsi="Times New Roman;Times;serif"/>
          <w:sz w:val="20"/>
          <w:shd w:fill="FFFFFF" w:val="clear"/>
        </w:rPr>
        <w:t xml:space="preserve">of Kronos’ revolving credit facility is deemed to approximate fair value. </w:t>
      </w:r>
      <w:r>
        <w:rPr>
          <w:rFonts w:ascii="Times New Roman;Times;serif" w:hAnsi="Times New Roman;Times;serif"/>
          <w:sz w:val="20"/>
        </w:rPr>
        <w:t>The fair value of other fixed-rate debt, which represents Level 2 inputs, is deemed to approximate carrying value. See Note 7. Due to their near-term maturities, the carrying amounts of accounts receivable and accounts payable are considered equivalent to fair value. See Notes 3 and 8.</w:t>
      </w:r>
    </w:p>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Note 18 – Restructuring costs:</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In the fourth quarter of 2025, Kronos initiated a restructuring plan through workforce reductions which is supporting an improved current and longer-term cost structure. These workforce reductions impacted approximately 226 positions with a</w:t>
      </w:r>
      <w:r>
        <w:rPr>
          <w:rFonts w:ascii="Times New Roman;Times;serif" w:hAnsi="Times New Roman;Times;serif"/>
          <w:sz w:val="20"/>
        </w:rPr>
        <w:t xml:space="preserve"> substantial portion of such reductions accomplished through involuntary programs. A portion of the reductions was also accomplished through voluntary programs, for which eligible workforce reduction costs were recognized at the time both the employee and employer were irrevocably committed to the terms of the separation. During the fourth quarter of 2025, Kronos recognized an aggregate $10.3 million charge related to these workforce reductions. </w:t>
      </w:r>
      <w:r>
        <w:rPr>
          <w:rFonts w:ascii="Times New Roman;Times;serif" w:hAnsi="Times New Roman;Times;serif"/>
          <w:sz w:val="20"/>
          <w:shd w:fill="FFFFFF" w:val="clear"/>
        </w:rPr>
        <w:t>Accrued severance costs remaining at March 31, 2026 are expected to be substantially paid in 2026 and are included in accounts payable and accrued liabilities on our Condensed Consolidated Balance Sheet. See Note 8. Kronos</w:t>
      </w:r>
      <w:r>
        <w:rPr>
          <w:rFonts w:ascii="Times New Roman;Times;serif" w:hAnsi="Times New Roman;Times;serif"/>
          <w:sz w:val="20"/>
        </w:rPr>
        <w:t xml:space="preserve"> does not expect to accrue any further material amounts for the workforce reductions.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46">
                <wp:simplePos x="0" y="0"/>
                <wp:positionH relativeFrom="page">
                  <wp:posOffset>0</wp:posOffset>
                </wp:positionH>
                <wp:positionV relativeFrom="line">
                  <wp:posOffset>635</wp:posOffset>
                </wp:positionV>
                <wp:extent cx="6480175" cy="175260"/>
                <wp:effectExtent l="0" t="0" r="0" b="0"/>
                <wp:wrapNone/>
                <wp:docPr id="245"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firstLine="720"/>
        <w:jc w:val="both"/>
        <w:rPr>
          <w:rFonts w:ascii="Times New Roman;Times;serif" w:hAnsi="Times New Roman;Times;serif"/>
          <w:sz w:val="20"/>
        </w:rPr>
      </w:pPr>
      <w:bookmarkStart w:id="1071" w:name="Tc_pfWnuGcZ4E6WQL8Sf6pJng_7_2"/>
      <w:bookmarkStart w:id="1072" w:name="Tc_d8qINl6nzUi2z2fQlbMbng_7_0"/>
      <w:bookmarkStart w:id="1073" w:name="Tc_ZHSY8S_3Wk-Nz81F6hOBmA_6_0"/>
      <w:bookmarkStart w:id="1074" w:name="Tc_etelwgxPLU2N_HauiAByaA_5_0"/>
      <w:bookmarkStart w:id="1075" w:name="Tc_Gy13KYH28E2us7Y6lRH0Ig_4_3"/>
      <w:bookmarkStart w:id="1076" w:name="Tc_yRLuQ5AoJUqlesp5MTCUig_4_0"/>
      <w:bookmarkStart w:id="1077" w:name="Tc_AtI3FkTUdEqSRjTui8iiVA_3_2"/>
      <w:bookmarkStart w:id="1078" w:name="Tc_P6cFuaNtmEiIKhsY-Q2NFQ_3_0"/>
      <w:bookmarkStart w:id="1079" w:name="Tc_JlBXTDkX1UaY3URl6kUrJw_2_2"/>
      <w:bookmarkStart w:id="1080" w:name="Tc_DkTXnaJ5HUaQ6emtmgKSpQ_1_2"/>
      <w:bookmarkStart w:id="1081" w:name="_2d1bdea7_39e1_481b_9760_d40db392dd65"/>
      <w:bookmarkEnd w:id="1071"/>
      <w:bookmarkEnd w:id="1072"/>
      <w:bookmarkEnd w:id="1073"/>
      <w:bookmarkEnd w:id="1074"/>
      <w:bookmarkEnd w:id="1075"/>
      <w:bookmarkEnd w:id="1076"/>
      <w:bookmarkEnd w:id="1077"/>
      <w:bookmarkEnd w:id="1078"/>
      <w:bookmarkEnd w:id="1079"/>
      <w:bookmarkEnd w:id="1080"/>
      <w:bookmarkEnd w:id="1081"/>
      <w:r>
        <w:rPr>
          <w:rFonts w:ascii="Times New Roman;Times;serif" w:hAnsi="Times New Roman;Times;serif"/>
          <w:sz w:val="20"/>
        </w:rPr>
        <w:t>A summary of the activity in Kronos’ accrued restructuring costs for the first three months of 2026 is shown in the table below:</w:t>
      </w:r>
    </w:p>
    <w:tbl>
      <w:tblPr>
        <w:tblW w:w="6035" w:type="dxa"/>
        <w:jc w:val="left"/>
        <w:tblInd w:w="0" w:type="dxa"/>
        <w:tblLayout w:type="fixed"/>
        <w:tblCellMar>
          <w:top w:w="0" w:type="dxa"/>
          <w:left w:w="0" w:type="dxa"/>
          <w:bottom w:w="0" w:type="dxa"/>
          <w:right w:w="0" w:type="dxa"/>
        </w:tblCellMar>
      </w:tblPr>
      <w:tblGrid>
        <w:gridCol w:w="4741"/>
        <w:gridCol w:w="109"/>
        <w:gridCol w:w="368"/>
        <w:gridCol w:w="817"/>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010535" cy="175260"/>
                      <wp:effectExtent l="0" t="0" r="0" b="0"/>
                      <wp:wrapNone/>
                      <wp:docPr id="246" name="Frame246"/>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260"/>
                      <wp:effectExtent l="0" t="0" r="0" b="0"/>
                      <wp:wrapNone/>
                      <wp:docPr id="247" name="Frame2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33680" cy="175260"/>
                      <wp:effectExtent l="0" t="0" r="0" b="0"/>
                      <wp:wrapNone/>
                      <wp:docPr id="248" name="Frame248"/>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18795" cy="175260"/>
                      <wp:effectExtent l="0" t="0" r="0" b="0"/>
                      <wp:wrapNone/>
                      <wp:docPr id="249" name="Frame249"/>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4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workforce reduction costs at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Workforce reduction costs accrued</w:t>
            </w:r>
          </w:p>
        </w:tc>
        <w:tc>
          <w:tcPr>
            <w:tcW w:w="109"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pPr>
            <w:r>
              <w:rPr/>
              <w:t>—</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Workforce reduction costs paid</w:t>
            </w:r>
          </w:p>
        </w:tc>
        <w:tc>
          <w:tcPr>
            <w:tcW w:w="109"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Currency translation adjustments, net</w:t>
            </w:r>
          </w:p>
        </w:tc>
        <w:tc>
          <w:tcPr>
            <w:tcW w:w="109" w:type="dxa"/>
            <w:tcBorders/>
            <w:vAlign w:val="center"/>
          </w:tcPr>
          <w:p>
            <w:pPr>
              <w:pStyle w:val="TableContents"/>
              <w:bidi w:val="0"/>
              <w:spacing w:before="0" w:after="1"/>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balance at March 31, 2026</w:t>
            </w:r>
          </w:p>
        </w:tc>
        <w:tc>
          <w:tcPr>
            <w:tcW w:w="109" w:type="dxa"/>
            <w:tcBorders/>
            <w:shd w:fill="CCEEFF" w:val="clear"/>
            <w:vAlign w:val="center"/>
          </w:tcPr>
          <w:p>
            <w:pPr>
              <w:pStyle w:val="TableContents"/>
              <w:bidi w:val="0"/>
              <w:spacing w:before="0" w:after="1"/>
              <w:ind w:left="0" w:right="0" w:hanging="0"/>
              <w:jc w:val="left"/>
              <w:rPr/>
            </w:pPr>
            <w:r>
              <w:rPr/>
              <w:t>​</w:t>
            </w:r>
          </w:p>
        </w:tc>
        <w:tc>
          <w:tcPr>
            <w:tcW w:w="3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19 – Recent accounting pronouncements:</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Reporting Comprehensive Income - Expense Disaggregation Disclosures</w:t>
      </w:r>
      <w:r>
        <w:rPr>
          <w:rFonts w:ascii="Times New Roman;Times;serif" w:hAnsi="Times New Roman;Times;serif"/>
          <w:sz w:val="20"/>
        </w:rPr>
        <w:t>. The ASU requires additional information about specific expense categories in the notes to financial statements for both interim and annual reporting periods. The ASU is effective for us beginning with our 2027 Annual Report, and for interim reporting, in the first quarter of 2028, with early adoption permitted. We are in the process of evaluating the additional disclosure requirements.</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51">
                <wp:simplePos x="0" y="0"/>
                <wp:positionH relativeFrom="page">
                  <wp:posOffset>0</wp:posOffset>
                </wp:positionH>
                <wp:positionV relativeFrom="line">
                  <wp:posOffset>635</wp:posOffset>
                </wp:positionV>
                <wp:extent cx="6480175" cy="175260"/>
                <wp:effectExtent l="0" t="0" r="0" b="0"/>
                <wp:wrapNone/>
                <wp:docPr id="250"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Normal"/>
        <w:bidi w:val="0"/>
        <w:spacing w:before="0" w:after="0"/>
        <w:jc w:val="left"/>
        <w:rPr>
          <w:sz w:val="4"/>
          <w:szCs w:val="4"/>
        </w:rPr>
      </w:pPr>
      <w:r>
        <w:rPr>
          <w:sz w:val="4"/>
          <w:szCs w:val="4"/>
        </w:rPr>
      </w:r>
      <w:bookmarkStart w:id="1082" w:name="MANAGEMENTSDISCUSSIONANDANALYSIS"/>
      <w:bookmarkStart w:id="1083" w:name="_5b9ce349_7b22_49b5_8f06_c6a24c5105e1"/>
      <w:bookmarkStart w:id="1084" w:name="ITEM2MGMTDISCUSSION"/>
      <w:bookmarkStart w:id="1085" w:name="MANAGEMENTSDISCUSSIONANDANALYSIS"/>
      <w:bookmarkStart w:id="1086" w:name="_5b9ce349_7b22_49b5_8f06_c6a24c5105e1"/>
      <w:bookmarkStart w:id="1087" w:name="ITEM2MGMTDISCUSSION"/>
      <w:bookmarkEnd w:id="1085"/>
      <w:bookmarkEnd w:id="1086"/>
      <w:bookmarkEnd w:id="1087"/>
    </w:p>
    <w:tbl>
      <w:tblPr>
        <w:tblW w:w="10205" w:type="dxa"/>
        <w:jc w:val="left"/>
        <w:tblInd w:w="0" w:type="dxa"/>
        <w:tblLayout w:type="fixed"/>
        <w:tblCellMar>
          <w:top w:w="0" w:type="dxa"/>
          <w:left w:w="0" w:type="dxa"/>
          <w:bottom w:w="0" w:type="dxa"/>
          <w:right w:w="0" w:type="dxa"/>
        </w:tblCellMar>
      </w:tblPr>
      <w:tblGrid>
        <w:gridCol w:w="837"/>
        <w:gridCol w:w="9368"/>
      </w:tblGrid>
      <w:tr>
        <w:trPr/>
        <w:tc>
          <w:tcPr>
            <w:tcW w:w="837"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9368"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primarily a holding company. We operate through our wholly-owned and majority-owned subsidiaries, including NL Industries, Inc., Kronos Worldwide, Inc., CompX International Inc., Tremont LLC, Basic Management, Inc. (“BMI”) and the LandWell Company (“LandWell”). Kronos (NYSE: KRO), NL (NYSE: NL) and CompX (NYSE American: CIX) each file periodic reports with the SEC.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three consolidated reportable operating segments: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Chemicals </w:t>
            </w:r>
            <w:r>
              <w:rPr>
                <w:caps w:val="false"/>
                <w:smallCaps w:val="false"/>
              </w:rPr>
              <w:t xml:space="preserve">– </w:t>
            </w:r>
            <w:r>
              <w:rPr>
                <w:rFonts w:ascii="Times New Roman;Times;serif" w:hAnsi="Times New Roman;Times;serif"/>
                <w:b w:val="false"/>
                <w:i w:val="false"/>
                <w:caps w:val="false"/>
                <w:smallCaps w:val="false"/>
                <w:sz w:val="20"/>
              </w:rPr>
              <w:t>Our Chemicals Segment is operated through our majority control of Kronos. Kronos is a leading global producer and marketer of value-added titanium dioxide pigments (“TiO</w:t>
            </w:r>
            <w:r>
              <w:rPr>
                <w:rFonts w:ascii="Times New Roman;Times;serif" w:hAnsi="Times New Roman;Times;serif"/>
                <w:b w:val="false"/>
                <w:i w:val="false"/>
                <w:caps w:val="false"/>
                <w:smallCaps w:val="false"/>
                <w:sz w:val="15"/>
              </w:rPr>
              <w:t>2</w:t>
            </w:r>
            <w:r>
              <w:rPr>
                <w:caps w:val="false"/>
                <w:smallCaps w:val="false"/>
              </w:rPr>
              <w:t>”</w:t>
            </w:r>
            <w:r>
              <w:rPr>
                <w:rFonts w:ascii="Times New Roman;Times;serif" w:hAnsi="Times New Roman;Times;serif"/>
                <w:b w:val="false"/>
                <w:i w:val="false"/>
                <w:caps w:val="false"/>
                <w:smallCaps w:val="false"/>
                <w:sz w:val="20"/>
              </w:rPr>
              <w:t>).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is used to impart whiteness, brightness, opacity and durability to a wide variety of products, including paints, plastics, paper, fibers and ceramics. Additionally,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is a critical component of everyday applications, such as coatings, plastics and paper, as well as many specialty products such as inks, cosmetics and pharmaceuticals.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Component Products </w:t>
            </w:r>
            <w:r>
              <w:rPr>
                <w:caps w:val="false"/>
                <w:smallCaps w:val="false"/>
              </w:rPr>
              <w:t xml:space="preserve">– </w:t>
            </w:r>
            <w:r>
              <w:rPr>
                <w:rFonts w:ascii="Times New Roman;Times;serif" w:hAnsi="Times New Roman;Times;serif"/>
                <w:b w:val="false"/>
                <w:i w:val="false"/>
                <w:caps w:val="false"/>
                <w:smallCaps w:val="false"/>
                <w:sz w:val="20"/>
              </w:rPr>
              <w:t>We operate in the component products industry through our majority control of CompX. CompX is a leading manufacturer of security products used in the postal, recreational transportation, office and institutional furniture, cabinetry, tool storage, healthcare applications and a variety of other industries. CompX is also a leading manufacturer of wake enhancement systems, stainless steel exhaust systems, custom metal fabricated parts, gauges, throttle controls, trim tabs and related hardware and accessories primarily for the recreational marine and other industries.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Real Estate Management and Development</w:t>
            </w:r>
            <w:r>
              <w:rPr>
                <w:caps w:val="false"/>
                <w:smallCaps w:val="false"/>
              </w:rPr>
              <w:t xml:space="preserve"> – </w:t>
            </w:r>
            <w:r>
              <w:rPr>
                <w:rFonts w:ascii="Times New Roman;Times;serif" w:hAnsi="Times New Roman;Times;serif"/>
                <w:b w:val="false"/>
                <w:i w:val="false"/>
                <w:caps w:val="false"/>
                <w:smallCaps w:val="false"/>
                <w:sz w:val="20"/>
              </w:rPr>
              <w:t xml:space="preserve">We operate in real estate management and development through our majority control of BMI and LandWell. BMI and LandWell own real property in Henderson, Nevada. LandWell is engaged in efforts to develop certain land holdings for commercial, industrial and residential purposes in Henderson, Nevada. </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supply and demand for our products;</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realize expected cost savings from strategic and operational initiatives;</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integrate acquisitions into Kronos’ operations and realize expected synergies and innovations;</w:t>
            </w:r>
          </w:p>
        </w:tc>
      </w:tr>
    </w:tbl>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the dependence of certain of our businesses on certain market sectors;</w:t>
            </w:r>
          </w:p>
        </w:tc>
      </w:tr>
    </w:tbl>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6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cyclicality of certain of our businesses (such as Kronos’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operations);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producer inventory levels;</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Unexpected or earlier-than-expected industry capacity expansion (such as the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raw material and other operating costs (such as ore, zinc, brass, aluminum, steel and energy costs) or the implementation of tariffs on imported raw materials;</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availability of raw materials (such as ore);</w:t>
            </w:r>
          </w:p>
        </w:tc>
      </w:tr>
    </w:tbl>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52">
                <wp:simplePos x="0" y="0"/>
                <wp:positionH relativeFrom="page">
                  <wp:posOffset>0</wp:posOffset>
                </wp:positionH>
                <wp:positionV relativeFrom="line">
                  <wp:posOffset>635</wp:posOffset>
                </wp:positionV>
                <wp:extent cx="6480175" cy="175260"/>
                <wp:effectExtent l="0" t="0" r="0" b="0"/>
                <wp:wrapNone/>
                <wp:docPr id="251"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General global economic and political conditions that harm the worldwide economy, disrupt our supply chain, increase material and energy costs, reduce demand or perceived demand for TiO</w:t>
            </w:r>
            <w:r>
              <w:rPr>
                <w:rFonts w:ascii="Times New Roman;Times;serif" w:hAnsi="Times New Roman;Times;serif"/>
                <w:b w:val="false"/>
                <w:i w:val="false"/>
                <w:caps w:val="false"/>
                <w:smallCaps w:val="false"/>
                <w:sz w:val="15"/>
              </w:rPr>
              <w:t>2</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component products and land held for development or impair our ability to operate our facilities (including changes in the level of gross domestic product in various regions of the world, tariffs, natural disasters, terrorist acts, global conflicts and public health crises);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interruptions (including, but not limited to, labor disputes, leaks, natural disasters, fires, explosions, unscheduled or unplanned downtime, transportation interruptions, certain regional and world events or economic conditions and public health crises);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Technology related disruptions (including, but not limited to, cyber-attacks; software implementation, upgrades or improvements; technology processing failures; or other events) related to our technology infrastructure (including manufacturing and accounting systems) that could impact our ability to continue operations, or at key vendors which could impact our supply chain, or at key customers which could impact their operations and cause them to curtail or pause orders; </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products and substitute products;</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Chinese suppliers with less stringent regulatory and environmental compliance requirements;</w:t>
            </w:r>
          </w:p>
        </w:tc>
      </w:tr>
    </w:tbl>
    <w:tbl>
      <w:tblPr>
        <w:tblW w:w="3456" w:type="dxa"/>
        <w:jc w:val="left"/>
        <w:tblInd w:w="0" w:type="dxa"/>
        <w:tblLayout w:type="fixed"/>
        <w:tblCellMar>
          <w:top w:w="28" w:type="dxa"/>
          <w:left w:w="28" w:type="dxa"/>
          <w:bottom w:w="28" w:type="dxa"/>
          <w:right w:w="28" w:type="dxa"/>
        </w:tblCellMar>
      </w:tblPr>
      <w:tblGrid>
        <w:gridCol w:w="124"/>
        <w:gridCol w:w="256"/>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competitor strategies;</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consolidation of our competitors;</w:t>
            </w:r>
          </w:p>
        </w:tc>
      </w:tr>
    </w:tbl>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consolidation of our customers;</w:t>
            </w:r>
          </w:p>
        </w:tc>
      </w:tr>
    </w:tbl>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key customers;</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pricing and production decisions;</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technology positions;</w:t>
            </w:r>
          </w:p>
        </w:tc>
      </w:tr>
    </w:tbl>
    <w:tbl>
      <w:tblPr>
        <w:tblW w:w="5331" w:type="dxa"/>
        <w:jc w:val="left"/>
        <w:tblInd w:w="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or defend intellectual property rights;</w:t>
            </w:r>
          </w:p>
        </w:tc>
      </w:tr>
    </w:tbl>
    <w:tbl>
      <w:tblPr>
        <w:tblW w:w="7506" w:type="dxa"/>
        <w:jc w:val="left"/>
        <w:tblInd w:w="0" w:type="dxa"/>
        <w:tblLayout w:type="fixed"/>
        <w:tblCellMar>
          <w:top w:w="28" w:type="dxa"/>
          <w:left w:w="28" w:type="dxa"/>
          <w:bottom w:w="28" w:type="dxa"/>
          <w:right w:w="28" w:type="dxa"/>
        </w:tblCellMar>
      </w:tblPr>
      <w:tblGrid>
        <w:gridCol w:w="124"/>
        <w:gridCol w:w="256"/>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or changes in existing, tariffs, trade barriers or trade disputes;</w:t>
            </w:r>
          </w:p>
        </w:tc>
      </w:tr>
    </w:tbl>
    <w:tbl>
      <w:tblPr>
        <w:tblW w:w="4656" w:type="dxa"/>
        <w:jc w:val="left"/>
        <w:tblInd w:w="0" w:type="dxa"/>
        <w:tblLayout w:type="fixed"/>
        <w:tblCellMar>
          <w:top w:w="28" w:type="dxa"/>
          <w:left w:w="28" w:type="dxa"/>
          <w:bottom w:w="28" w:type="dxa"/>
          <w:right w:w="28" w:type="dxa"/>
        </w:tblCellMar>
      </w:tblPr>
      <w:tblGrid>
        <w:gridCol w:w="124"/>
        <w:gridCol w:w="256"/>
        <w:gridCol w:w="4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subsidiaries to pay us dividends;</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new product development and the development of new product features;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 (such as changes in the exchange rate between the U.S. dollar and each of the euro, the Norwegian krone and the Canadian dollar and between the euro and the Norwegian krone) or possible disruptions to our business resulting from uncertainties associated with the euro or other currencies;</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to sell operating assets other than in the ordinary course of business;</w:t>
            </w:r>
          </w:p>
        </w:tc>
      </w:tr>
    </w:tbl>
    <w:tbl>
      <w:tblPr>
        <w:tblW w:w="4476" w:type="dxa"/>
        <w:jc w:val="left"/>
        <w:tblInd w:w="0" w:type="dxa"/>
        <w:tblLayout w:type="fixed"/>
        <w:tblCellMar>
          <w:top w:w="28" w:type="dxa"/>
          <w:left w:w="28" w:type="dxa"/>
          <w:bottom w:w="28" w:type="dxa"/>
          <w:right w:w="28" w:type="dxa"/>
        </w:tblCellMar>
      </w:tblPr>
      <w:tblGrid>
        <w:gridCol w:w="124"/>
        <w:gridCol w:w="256"/>
        <w:gridCol w:w="4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amounts of insurance recoveries;</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renew or refinance credit facilities or other debt instruments in the future;</w:t>
            </w:r>
          </w:p>
        </w:tc>
      </w:tr>
    </w:tbl>
    <w:tbl>
      <w:tblPr>
        <w:tblW w:w="2571" w:type="dxa"/>
        <w:jc w:val="left"/>
        <w:tblInd w:w="0" w:type="dxa"/>
        <w:tblLayout w:type="fixed"/>
        <w:tblCellMar>
          <w:top w:w="28" w:type="dxa"/>
          <w:left w:w="28" w:type="dxa"/>
          <w:bottom w:w="28" w:type="dxa"/>
          <w:right w:w="28" w:type="dxa"/>
        </w:tblCellMar>
      </w:tblPr>
      <w:tblGrid>
        <w:gridCol w:w="124"/>
        <w:gridCol w:w="256"/>
        <w:gridCol w:w="2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sufficient liquidity;</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income tax audits, tax settlement initiatives or other tax matters, including future tax reform;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utilize income tax attributes, the benefits of which may or may not have been recognized under the more-likely-than-not recognition criteria;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(such as those requiring compliance with emission and discharge standards for existing and new facilities, or new developments regarding environmental remediation or decommissioning obligations at sites related to our former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Government laws and regulations and possible changes therein (such as changes in government regulations which might impose various obligations on former manufacturers of lead pigment and lead-based paint, including NL, with respect to asserted health concerns associated with the use of such products) including new environmental, sustainability, health and safety or other regulations (such as those seeking to limit or classify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or its use);</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resolution of pending litigation (such as NL’s lead pigment and environmental matters);</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covenants contained in our revolving bank credit facilities;</w:t>
            </w:r>
          </w:p>
        </w:tc>
      </w:tr>
    </w:tbl>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53">
                <wp:simplePos x="0" y="0"/>
                <wp:positionH relativeFrom="page">
                  <wp:posOffset>0</wp:posOffset>
                </wp:positionH>
                <wp:positionV relativeFrom="line">
                  <wp:posOffset>635</wp:posOffset>
                </wp:positionV>
                <wp:extent cx="6480175" cy="175260"/>
                <wp:effectExtent l="0" t="0" r="0" b="0"/>
                <wp:wrapNone/>
                <wp:docPr id="252"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complete and comply with the conditions of our licenses and permits;</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construction costs in Henderson, Nevada;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possible future litigation (such as litigation related to CompX’s use of certain permitted chemicals in its productions process) or other actions.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Operations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Quarter Ended March 31, 2026 Compared to the Quarter Ended March 31, 2025 </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reported net income attributable to Valhi stockholders of $2.0 million, or $.07 per diluted share, in the first quarter of 2026 compared to net income attributable to Valhi stockholders of $16.9 million, or $.59 per diluted share, in the first quarter of 2025. As discussed more fully below, our net income attributable to Valhi stockholders decreased from 2025 to 2026 primarily due to lower operating income from our Chemicals Segment partially offset by higher operating income from our Component Products and our Real Estate Management and Development Segments.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diluted net income per share in the first quarter of 2026 includes:</w:t>
      </w:r>
    </w:p>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of $.10 per share related to tax increment infrastructure reimbursement;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loss of $.04 per share due to recognition at our Chemicals Segment of an uncertain tax position related to a German tax audit.</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i/>
          <w:sz w:val="20"/>
        </w:rPr>
        <w:t>Current Forecast for 2026 </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expect consolidated operating income for 2026 to be higher as compared to 2025 primarily due to the net effects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operating income from our Chemicals Segment in 2026 primarily due to the positive impacts of increased operating rates, higher sales volumes and selling prices, and lower operating costs;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lower operating income from our Real Estate Management and Development Segment in 2026 due to the wind down of development activities.</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Segment Operating Results – 2026 Compared to 2025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Chemicals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consider TiO</w:t>
      </w:r>
      <w:r>
        <w:rPr>
          <w:rFonts w:ascii="Times New Roman;Times;serif" w:hAnsi="Times New Roman;Times;serif"/>
          <w:sz w:val="15"/>
        </w:rPr>
        <w:t>2</w:t>
      </w:r>
      <w:r>
        <w:rPr>
          <w:rFonts w:ascii="Times New Roman;Times;serif" w:hAnsi="Times New Roman;Times;serif"/>
          <w:sz w:val="20"/>
        </w:rPr>
        <w:t xml:space="preserve"> to be a “quality of life” product, with demand affected by gross domestic product, or GDP, and overall economic conditions in our markets located in various regions of the world. Over the long-term, we expect demand for TiO</w:t>
      </w:r>
      <w:r>
        <w:rPr>
          <w:rFonts w:ascii="Times New Roman;Times;serif" w:hAnsi="Times New Roman;Times;serif"/>
          <w:sz w:val="15"/>
        </w:rPr>
        <w:t>2</w:t>
      </w:r>
      <w:r>
        <w:rPr>
          <w:rFonts w:ascii="Times New Roman;Times;serif" w:hAnsi="Times New Roman;Times;serif"/>
          <w:sz w:val="20"/>
        </w:rPr>
        <w:t xml:space="preserve"> will grow by 2% to 3% per year, consistent with our expectations for the long-term growth in GDP. However, even if our Chemicals Segment and its competitors maintain consistent shares of the worldwide market, demand for TiO</w:t>
      </w:r>
      <w:r>
        <w:rPr>
          <w:rFonts w:ascii="Times New Roman;Times;serif" w:hAnsi="Times New Roman;Times;serif"/>
          <w:sz w:val="15"/>
        </w:rPr>
        <w:t>2</w:t>
      </w:r>
      <w:r>
        <w:rPr>
          <w:rFonts w:ascii="Times New Roman;Times;serif" w:hAnsi="Times New Roman;Times;serif"/>
          <w:sz w:val="20"/>
        </w:rPr>
        <w:t xml:space="preserve"> in any interim or annual period may not change in the same proportion as the change in GDP, in part due to relative changes in the TiO</w:t>
      </w:r>
      <w:r>
        <w:rPr>
          <w:rFonts w:ascii="Times New Roman;Times;serif" w:hAnsi="Times New Roman;Times;serif"/>
          <w:sz w:val="15"/>
        </w:rPr>
        <w:t>2</w:t>
      </w:r>
      <w:r>
        <w:rPr>
          <w:rFonts w:ascii="Times New Roman;Times;serif" w:hAnsi="Times New Roman;Times;serif"/>
          <w:sz w:val="20"/>
        </w:rPr>
        <w:t xml:space="preserve"> inventory levels of our Chemicals Segment’s customers. We believe our Chemicals Segment’s customers’ inventory levels are influenced in part by their expectations for future changes in TiO</w:t>
      </w:r>
      <w:r>
        <w:rPr>
          <w:rFonts w:ascii="Times New Roman;Times;serif" w:hAnsi="Times New Roman;Times;serif"/>
          <w:sz w:val="15"/>
        </w:rPr>
        <w:t>2</w:t>
      </w:r>
      <w:r>
        <w:rPr>
          <w:rFonts w:ascii="Times New Roman;Times;serif" w:hAnsi="Times New Roman;Times;serif"/>
          <w:sz w:val="20"/>
        </w:rPr>
        <w:t xml:space="preserve"> selling prices as well as their expectations for future availability of product. Although certain of our Chemicals Segment’s TiO</w:t>
      </w:r>
      <w:r>
        <w:rPr>
          <w:rFonts w:ascii="Times New Roman;Times;serif" w:hAnsi="Times New Roman;Times;serif"/>
          <w:sz w:val="15"/>
        </w:rPr>
        <w:t xml:space="preserve">2 </w:t>
      </w:r>
      <w:r>
        <w:rPr>
          <w:rFonts w:ascii="Times New Roman;Times;serif" w:hAnsi="Times New Roman;Times;serif"/>
          <w:sz w:val="20"/>
        </w:rPr>
        <w:t>grades are considered specialty pigments, the majority of its grades and substantially all of its production are considered commodity pigment products with price and availability being the most significant competitive factors along with product quality and customer and technical support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factors having the most impact on our Chemicals Segment’s reported operating results are:</w:t>
      </w:r>
    </w:p>
    <w:tbl>
      <w:tblPr>
        <w:tblW w:w="2106" w:type="dxa"/>
        <w:jc w:val="left"/>
        <w:tblInd w:w="0" w:type="dxa"/>
        <w:tblLayout w:type="fixed"/>
        <w:tblCellMar>
          <w:top w:w="28" w:type="dxa"/>
          <w:left w:w="28" w:type="dxa"/>
          <w:bottom w:w="28" w:type="dxa"/>
          <w:right w:w="28" w:type="dxa"/>
        </w:tblCellMar>
      </w:tblPr>
      <w:tblGrid>
        <w:gridCol w:w="124"/>
        <w:gridCol w:w="256"/>
        <w:gridCol w:w="1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selling prices,</w:t>
            </w:r>
          </w:p>
        </w:tc>
      </w:tr>
    </w:tbl>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Chemicals Segment’s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sales and production volumes,</w:t>
            </w:r>
          </w:p>
        </w:tc>
      </w:tr>
    </w:tbl>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54">
                <wp:simplePos x="0" y="0"/>
                <wp:positionH relativeFrom="page">
                  <wp:posOffset>0</wp:posOffset>
                </wp:positionH>
                <wp:positionV relativeFrom="line">
                  <wp:posOffset>635</wp:posOffset>
                </wp:positionV>
                <wp:extent cx="6480175" cy="175260"/>
                <wp:effectExtent l="0" t="0" r="0" b="0"/>
                <wp:wrapNone/>
                <wp:docPr id="253"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costs, particularly raw materials such as third-party feedstock, maintenance and energy-related expenses,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rates (particularly the exchange rates for the U.S. dollar relative to the euro, the Norwegian krone and the Canadian dollar and the euro relative to the Norwegian krone).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Key performance indicators are our Chemicals Segment’s TiO</w:t>
      </w:r>
      <w:r>
        <w:rPr>
          <w:rFonts w:ascii="Times New Roman;Times;serif" w:hAnsi="Times New Roman;Times;serif"/>
          <w:sz w:val="15"/>
        </w:rPr>
        <w:t>2</w:t>
      </w:r>
      <w:r>
        <w:rPr>
          <w:rFonts w:ascii="Times New Roman;Times;serif" w:hAnsi="Times New Roman;Times;serif"/>
          <w:sz w:val="20"/>
        </w:rPr>
        <w:t xml:space="preserve"> average selling prices, the level of TiO</w:t>
      </w:r>
      <w:r>
        <w:rPr>
          <w:rFonts w:ascii="Times New Roman;Times;serif" w:hAnsi="Times New Roman;Times;serif"/>
          <w:sz w:val="15"/>
        </w:rPr>
        <w:t>2</w:t>
      </w:r>
      <w:r>
        <w:rPr>
          <w:rFonts w:ascii="Times New Roman;Times;serif" w:hAnsi="Times New Roman;Times;serif"/>
          <w:sz w:val="20"/>
        </w:rPr>
        <w:t xml:space="preserve"> sales and production volumes, and the cost of our Chemicals Segment’s titanium-containing feedstock purchased from third parties. TiO</w:t>
      </w:r>
      <w:r>
        <w:rPr>
          <w:rFonts w:ascii="Times New Roman;Times;serif" w:hAnsi="Times New Roman;Times;serif"/>
          <w:sz w:val="15"/>
        </w:rPr>
        <w:t xml:space="preserve">2 </w:t>
      </w:r>
      <w:r>
        <w:rPr>
          <w:rFonts w:ascii="Times New Roman;Times;serif" w:hAnsi="Times New Roman;Times;serif"/>
          <w:sz w:val="20"/>
        </w:rPr>
        <w:t>selling prices generally follow industry trends, and selling prices will increase or decrease generally as a result of competitive market pressures.</w:t>
      </w:r>
    </w:p>
    <w:tbl>
      <w:tblPr>
        <w:tblW w:w="7000" w:type="dxa"/>
        <w:jc w:val="left"/>
        <w:tblInd w:w="0" w:type="dxa"/>
        <w:tblLayout w:type="fixed"/>
        <w:tblCellMar>
          <w:top w:w="0" w:type="dxa"/>
          <w:left w:w="0" w:type="dxa"/>
          <w:bottom w:w="0" w:type="dxa"/>
          <w:right w:w="0" w:type="dxa"/>
        </w:tblCellMar>
      </w:tblPr>
      <w:tblGrid>
        <w:gridCol w:w="3031"/>
        <w:gridCol w:w="346"/>
        <w:gridCol w:w="211"/>
        <w:gridCol w:w="571"/>
        <w:gridCol w:w="361"/>
        <w:gridCol w:w="211"/>
        <w:gridCol w:w="571"/>
        <w:gridCol w:w="391"/>
        <w:gridCol w:w="991"/>
        <w:gridCol w:w="316"/>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924685" cy="175260"/>
                      <wp:effectExtent l="0" t="0" r="0" b="0"/>
                      <wp:wrapNone/>
                      <wp:docPr id="254" name="Frame254"/>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62585" cy="175260"/>
                      <wp:effectExtent l="0" t="0" r="0" b="0"/>
                      <wp:wrapNone/>
                      <wp:docPr id="257" name="Frame25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29235" cy="175260"/>
                      <wp:effectExtent l="0" t="0" r="0" b="0"/>
                      <wp:wrapNone/>
                      <wp:docPr id="258" name="Frame25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9"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62585" cy="175260"/>
                      <wp:effectExtent l="0" t="0" r="0" b="0"/>
                      <wp:wrapNone/>
                      <wp:docPr id="260" name="Frame26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48285" cy="175260"/>
                      <wp:effectExtent l="0" t="0" r="0" b="0"/>
                      <wp:wrapNone/>
                      <wp:docPr id="261" name="Frame26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29285" cy="175260"/>
                      <wp:effectExtent l="0" t="0" r="0" b="0"/>
                      <wp:wrapNone/>
                      <wp:docPr id="262" name="Frame26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0660" cy="175260"/>
                      <wp:effectExtent l="0" t="0" r="0" b="0"/>
                      <wp:wrapNone/>
                      <wp:docPr id="263" name="Frame26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30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c>
          <w:tcPr>
            <w:tcW w:w="316" w:type="dxa"/>
            <w:tcBorders/>
            <w:vAlign w:val="center"/>
          </w:tcPr>
          <w:p>
            <w:pPr>
              <w:pStyle w:val="TableContents"/>
              <w:bidi w:val="0"/>
              <w:spacing w:before="0" w:after="1"/>
              <w:ind w:left="0" w:right="0" w:hanging="0"/>
              <w:jc w:val="center"/>
              <w:rPr/>
            </w:pPr>
            <w:r>
              <w:rPr/>
              <w:t>​</w:t>
            </w:r>
          </w:p>
        </w:tc>
      </w:tr>
      <w:tr>
        <w:trPr/>
        <w:tc>
          <w:tcPr>
            <w:tcW w:w="3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1"/>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16" w:type="dxa"/>
            <w:tcBorders/>
            <w:vAlign w:val="center"/>
          </w:tcPr>
          <w:p>
            <w:pPr>
              <w:pStyle w:val="TableContents"/>
              <w:bidi w:val="0"/>
              <w:spacing w:before="0" w:after="1"/>
              <w:ind w:left="0" w:right="0" w:hanging="0"/>
              <w:jc w:val="center"/>
              <w:rPr/>
            </w:pPr>
            <w:r>
              <w:rPr/>
              <w:t>​</w:t>
            </w:r>
          </w:p>
        </w:tc>
      </w:tr>
      <w:tr>
        <w:trPr/>
        <w:tc>
          <w:tcPr>
            <w:tcW w:w="700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2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millions)</w:t>
            </w:r>
          </w:p>
        </w:tc>
        <w:tc>
          <w:tcPr>
            <w:tcW w:w="391"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509.8</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383.4</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427.0</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vAlign w:val="center"/>
          </w:tcPr>
          <w:p>
            <w:pPr>
              <w:pStyle w:val="TableContents"/>
              <w:bidi w:val="0"/>
              <w:spacing w:before="0" w:after="1"/>
              <w:ind w:left="0" w:right="0" w:hanging="0"/>
              <w:jc w:val="left"/>
              <w:rPr/>
            </w:pPr>
            <w:r>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82.8</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16" w:type="dxa"/>
            <w:tcBorders/>
            <w:vAlign w:val="center"/>
          </w:tcPr>
          <w:p>
            <w:pPr>
              <w:pStyle w:val="TableContents"/>
              <w:bidi w:val="0"/>
              <w:spacing w:before="0" w:after="1"/>
              <w:ind w:left="0" w:right="0" w:hanging="0"/>
              <w:jc w:val="left"/>
              <w:rPr/>
            </w:pPr>
            <w:r>
              <w:rPr/>
              <w:t>​</w:t>
            </w:r>
          </w:p>
        </w:tc>
      </w:tr>
      <w:tr>
        <w:trPr/>
        <w:tc>
          <w:tcPr>
            <w:tcW w:w="30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net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 </w:t>
            </w:r>
          </w:p>
        </w:tc>
      </w:tr>
      <w:tr>
        <w:trPr/>
        <w:tc>
          <w:tcPr>
            <w:tcW w:w="3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operating statistics: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 </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volumes*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142</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Production volumes*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change in TiO</w:t>
            </w:r>
            <w:r>
              <w:rPr>
                <w:rFonts w:ascii="Times New Roman;Times;serif" w:hAnsi="Times New Roman;Times;serif"/>
                <w:sz w:val="15"/>
              </w:rPr>
              <w:t>2</w:t>
            </w:r>
            <w:r>
              <w:rPr>
                <w:rFonts w:ascii="Times New Roman;Times;serif" w:hAnsi="Times New Roman;Times;serif"/>
                <w:sz w:val="20"/>
              </w:rPr>
              <w:t xml:space="preserve"> net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 xml:space="preserve">2 </w:t>
            </w:r>
            <w:r>
              <w:rPr>
                <w:rFonts w:ascii="Times New Roman;Times;serif" w:hAnsi="Times New Roman;Times;serif"/>
                <w:sz w:val="20"/>
              </w:rPr>
              <w:t>sales volumes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 xml:space="preserve">2 </w:t>
            </w:r>
            <w:r>
              <w:rPr>
                <w:rFonts w:ascii="Times New Roman;Times;serif" w:hAnsi="Times New Roman;Times;serif"/>
                <w:sz w:val="20"/>
              </w:rPr>
              <w:t>product pricing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vAlign w:val="center"/>
          </w:tcPr>
          <w:p>
            <w:pPr>
              <w:pStyle w:val="TableContents"/>
              <w:bidi w:val="0"/>
              <w:spacing w:before="0" w:after="1"/>
              <w:ind w:left="0" w:right="0" w:hanging="0"/>
              <w:jc w:val="left"/>
              <w:rPr/>
            </w:pPr>
            <w:r>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product mix/other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 </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currency exchange rates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vAlign w:val="center"/>
          </w:tcPr>
          <w:p>
            <w:pPr>
              <w:pStyle w:val="TableContents"/>
              <w:bidi w:val="0"/>
              <w:spacing w:before="0" w:after="1"/>
              <w:ind w:left="0" w:right="0" w:hanging="0"/>
              <w:jc w:val="left"/>
              <w:rPr/>
            </w:pPr>
            <w:r>
              <w:rPr/>
              <w:t> </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pBdr/>
        <w:bidi w:val="0"/>
        <w:spacing w:before="0" w:after="240"/>
        <w:ind w:left="0" w:right="0" w:hanging="720"/>
        <w:jc w:val="left"/>
        <w:rPr>
          <w:rFonts w:ascii="Times New Roman;Times;serif" w:hAnsi="Times New Roman;Times;serif"/>
          <w:sz w:val="20"/>
        </w:rPr>
      </w:pPr>
      <w:r>
        <w:rPr>
          <w:rFonts w:ascii="Times New Roman;Times;serif" w:hAnsi="Times New Roman;Times;serif"/>
          <w:sz w:val="20"/>
        </w:rPr>
        <w:t>*            Thousands of metric tons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Current Industry Conditions </w:t>
      </w:r>
      <w:r>
        <w:rPr>
          <w:rFonts w:ascii="Times New Roman;Times;serif" w:hAnsi="Times New Roman;Times;serif"/>
          <w:sz w:val="20"/>
        </w:rPr>
        <w:t>– Our Chemicals Segment started 2026 with average TiO</w:t>
      </w:r>
      <w:r>
        <w:rPr>
          <w:rFonts w:ascii="Times New Roman;Times;serif" w:hAnsi="Times New Roman;Times;serif"/>
          <w:sz w:val="15"/>
        </w:rPr>
        <w:t>2</w:t>
      </w:r>
      <w:r>
        <w:rPr>
          <w:rFonts w:ascii="Times New Roman;Times;serif" w:hAnsi="Times New Roman;Times;serif"/>
          <w:sz w:val="20"/>
        </w:rPr>
        <w:t xml:space="preserve"> selling prices lower than at the beginning of 2025; however, its average TiO</w:t>
      </w:r>
      <w:r>
        <w:rPr>
          <w:rFonts w:ascii="Times New Roman;Times;serif" w:hAnsi="Times New Roman;Times;serif"/>
          <w:sz w:val="15"/>
        </w:rPr>
        <w:t>2</w:t>
      </w:r>
      <w:r>
        <w:rPr>
          <w:rFonts w:ascii="Times New Roman;Times;serif" w:hAnsi="Times New Roman;Times;serif"/>
          <w:sz w:val="20"/>
        </w:rPr>
        <w:t xml:space="preserve"> selling prices increased 2% during the first quarter of 2026. Our Chemicals Segment’s average TiO</w:t>
      </w:r>
      <w:r>
        <w:rPr>
          <w:rFonts w:ascii="Times New Roman;Times;serif" w:hAnsi="Times New Roman;Times;serif"/>
          <w:sz w:val="15"/>
        </w:rPr>
        <w:t>2</w:t>
      </w:r>
      <w:r>
        <w:rPr>
          <w:rFonts w:ascii="Times New Roman;Times;serif" w:hAnsi="Times New Roman;Times;serif"/>
          <w:sz w:val="20"/>
        </w:rPr>
        <w:t xml:space="preserve"> selling prices in the first quarter of 2026 were 6% lower than average TiO</w:t>
      </w:r>
      <w:r>
        <w:rPr>
          <w:rFonts w:ascii="Times New Roman;Times;serif" w:hAnsi="Times New Roman;Times;serif"/>
          <w:sz w:val="15"/>
        </w:rPr>
        <w:t>2</w:t>
      </w:r>
      <w:r>
        <w:rPr>
          <w:rFonts w:ascii="Times New Roman;Times;serif" w:hAnsi="Times New Roman;Times;serif"/>
          <w:sz w:val="20"/>
        </w:rPr>
        <w:t xml:space="preserve"> selling prices during the first quarter of 2025. Overall, our Chemicals Segment’s sales volumes increased in the first quarter of 2026 compared to the same period in 2025 due to higher overall sales volumes in the North American, Latin American and export markets partially offset by lower sales volumes in the European market.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During the fourth quarter of 2025, our Chemicals Segment implemented cost reduction initiatives, including workforce reductions and other measures, to permanently improve its cost structure and enable more efficient operation of its facilities at lower production rates for extended periods. As a result, beginning in the first quarter of 2026, our Chemicals Segment’s normal production capacity range has been adjusted to reflect its production capabilities under this new cost structure.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Excluding the effect of changes in currency exchange rates, our Chemicals Segment’s cost of sales per metric ton of TiO</w:t>
      </w:r>
      <w:r>
        <w:rPr>
          <w:rFonts w:ascii="Times New Roman;Times;serif" w:hAnsi="Times New Roman;Times;serif"/>
          <w:sz w:val="15"/>
        </w:rPr>
        <w:t>2</w:t>
      </w:r>
      <w:r>
        <w:rPr>
          <w:rFonts w:ascii="Times New Roman;Times;serif" w:hAnsi="Times New Roman;Times;serif"/>
          <w:sz w:val="20"/>
        </w:rPr>
        <w:t xml:space="preserve"> sold in the first quarter of 2026 was lower as compared to the first quarter of 2025 due to decreases in per metric ton production costs driven primarily by the cost reduction initiatives discussed above, as well as lower raw material and energy costs.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 Sales </w:t>
      </w:r>
      <w:r>
        <w:rPr>
          <w:rFonts w:ascii="Times New Roman;Times;serif" w:hAnsi="Times New Roman;Times;serif"/>
          <w:sz w:val="20"/>
        </w:rPr>
        <w:t>– Our Chemicals Segment’s net sales in the first quarter of 2026 increased 4%, or $20.0 million, compared to the first quarter of 2025 due to the effects of a 4% increase in sales volumes (which increased net sales by approximately $20 million) and the favorable impact of changes in currency exchange rates (primarily the euro), which we estimate increased our Chemicals Segment’s net sales by approximately $30 million. These increases were partially offset by a 6% decrease in average TiO</w:t>
      </w:r>
      <w:r>
        <w:rPr>
          <w:rFonts w:ascii="Times New Roman;Times;serif" w:hAnsi="Times New Roman;Times;serif"/>
          <w:sz w:val="15"/>
        </w:rPr>
        <w:t xml:space="preserve">2 </w:t>
      </w:r>
      <w:r>
        <w:rPr>
          <w:rFonts w:ascii="Times New Roman;Times;serif" w:hAnsi="Times New Roman;Times;serif"/>
          <w:sz w:val="20"/>
        </w:rPr>
        <w:t>selling prices (which decreased net sales by approximately $30 million). TiO</w:t>
      </w:r>
      <w:r>
        <w:rPr>
          <w:rFonts w:ascii="Times New Roman;Times;serif" w:hAnsi="Times New Roman;Times;serif"/>
          <w:sz w:val="15"/>
        </w:rPr>
        <w:t>2</w:t>
      </w:r>
      <w:r>
        <w:rPr>
          <w:rFonts w:ascii="Times New Roman;Times;serif" w:hAnsi="Times New Roman;Times;serif"/>
          <w:sz w:val="20"/>
        </w:rPr>
        <w:t xml:space="preserve"> selling prices will increase or decrease generally as a result of competitive market pressures, changes in the relative level of supply and demand as well as changes in raw material and other manufacturing costs.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65">
                <wp:simplePos x="0" y="0"/>
                <wp:positionH relativeFrom="page">
                  <wp:posOffset>0</wp:posOffset>
                </wp:positionH>
                <wp:positionV relativeFrom="line">
                  <wp:posOffset>635</wp:posOffset>
                </wp:positionV>
                <wp:extent cx="6480175" cy="175260"/>
                <wp:effectExtent l="0" t="0" r="0" b="0"/>
                <wp:wrapNone/>
                <wp:docPr id="264"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Chemicals Segment’s sales volumes increased 4% in the first quarter of 2026 as compared to the first quarter of 2025 primarily due to higher sales volumes in our Chemicals Segment’s North American, Latin American and export markets partially offset by lower sales volumes in the European market. The incremental market share gains our Chemicals Segment achieved in the European market during the second half of 2025, primarily as a result of competitor plant closures, continued into the first quarter of 2026. However, gains were not sufficient to offset the underlying decline in overall European demand. </w:t>
      </w:r>
    </w:p>
    <w:p>
      <w:pPr>
        <w:pStyle w:val="TextBody"/>
        <w:bidi w:val="0"/>
        <w:spacing w:lineRule="auto" w:line="300" w:before="0" w:after="240"/>
        <w:ind w:left="0" w:right="0" w:firstLine="720"/>
        <w:jc w:val="both"/>
        <w:rPr>
          <w:rFonts w:ascii="Times New Roman;Times;serif" w:hAnsi="Times New Roman;Times;serif"/>
          <w:sz w:val="20"/>
        </w:rPr>
      </w:pPr>
      <w:r>
        <w:rPr>
          <w:rFonts w:ascii="Times New Roman;Times;serif" w:hAnsi="Times New Roman;Times;serif"/>
          <w:i/>
          <w:sz w:val="20"/>
        </w:rPr>
        <w:t>Cost of Sales and Gross Margin </w:t>
      </w:r>
      <w:r>
        <w:rPr>
          <w:rFonts w:ascii="Times New Roman;Times;serif" w:hAnsi="Times New Roman;Times;serif"/>
          <w:sz w:val="20"/>
        </w:rPr>
        <w:t xml:space="preserve">– </w:t>
      </w:r>
      <w:r>
        <w:rPr>
          <w:rFonts w:ascii="Times New Roman;Times;serif" w:hAnsi="Times New Roman;Times;serif"/>
          <w:sz w:val="20"/>
          <w:shd w:fill="FFFFFF" w:val="clear"/>
        </w:rPr>
        <w:t xml:space="preserve">Our Chemicals Segment’s cost of sales increased by $43.6 million, or 11%, in the </w:t>
      </w:r>
      <w:r>
        <w:rPr>
          <w:rFonts w:ascii="Times New Roman;Times;serif" w:hAnsi="Times New Roman;Times;serif"/>
          <w:sz w:val="20"/>
        </w:rPr>
        <w:t>first</w:t>
      </w:r>
      <w:r>
        <w:rPr>
          <w:rFonts w:ascii="Times New Roman;Times;serif" w:hAnsi="Times New Roman;Times;serif"/>
          <w:sz w:val="20"/>
          <w:shd w:fill="FFFFFF" w:val="clear"/>
        </w:rPr>
        <w:t xml:space="preserve"> quarter of 2026 compared to the </w:t>
      </w:r>
      <w:r>
        <w:rPr>
          <w:rFonts w:ascii="Times New Roman;Times;serif" w:hAnsi="Times New Roman;Times;serif"/>
          <w:sz w:val="20"/>
        </w:rPr>
        <w:t>first</w:t>
      </w:r>
      <w:r>
        <w:rPr>
          <w:rFonts w:ascii="Times New Roman;Times;serif" w:hAnsi="Times New Roman;Times;serif"/>
          <w:sz w:val="20"/>
          <w:shd w:fill="FFFFFF" w:val="clear"/>
        </w:rPr>
        <w:t xml:space="preserve"> quarter of 2025 due to the effects of a 4% increase in sales volumes </w:t>
      </w:r>
      <w:r>
        <w:rPr>
          <w:rFonts w:ascii="Times New Roman;Times;serif" w:hAnsi="Times New Roman;Times;serif"/>
          <w:sz w:val="20"/>
        </w:rPr>
        <w:t>and the unfavorable impact from changes in currency exchange rates, partially offset by</w:t>
      </w:r>
      <w:r>
        <w:rPr>
          <w:rFonts w:ascii="Times New Roman;Times;serif" w:hAnsi="Times New Roman;Times;serif"/>
          <w:sz w:val="20"/>
          <w:shd w:fill="FFFFFF" w:val="clear"/>
        </w:rPr>
        <w:t xml:space="preserve"> lower production costs driven primarily by the cost reduction initiatives as well as lower raw material and energy costs. In addition, unabsorbed fixed costs were not material in the first quarter of 2026 compared to $10 million of unabsorbed fixed costs in the first quarter of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Chemicals Segment’s cost of sales as a percentage of net sales increased to 84% in the first quarter of 2026 compared to 78% in the same period of 2025, as the unfavorable impact of lower average TiO</w:t>
      </w:r>
      <w:r>
        <w:rPr>
          <w:rFonts w:ascii="Times New Roman;Times;serif" w:hAnsi="Times New Roman;Times;serif"/>
          <w:sz w:val="15"/>
        </w:rPr>
        <w:t>2</w:t>
      </w:r>
      <w:r>
        <w:rPr>
          <w:rFonts w:ascii="Times New Roman;Times;serif" w:hAnsi="Times New Roman;Times;serif"/>
          <w:sz w:val="20"/>
        </w:rPr>
        <w:t xml:space="preserve"> selling prices more than offset the favorable effects of lower production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margin as a percentage of net sales decreased to 16% in the first quarter of 2026 compared to 22% in the first quarter of 2025. As discussed and quantified above, our Chemicals Segment’s gross margin as a percentage of net sales decreased primarily due to the net effects of  higher sales volumes, lower average TiO</w:t>
      </w:r>
      <w:r>
        <w:rPr>
          <w:rFonts w:ascii="Times New Roman;Times;serif" w:hAnsi="Times New Roman;Times;serif"/>
          <w:sz w:val="15"/>
        </w:rPr>
        <w:t>2</w:t>
      </w:r>
      <w:r>
        <w:rPr>
          <w:rFonts w:ascii="Times New Roman;Times;serif" w:hAnsi="Times New Roman;Times;serif"/>
          <w:sz w:val="20"/>
        </w:rPr>
        <w:t xml:space="preserve"> selling prices,</w:t>
      </w:r>
      <w:r>
        <w:rPr>
          <w:rFonts w:ascii="Times New Roman;Times;serif" w:hAnsi="Times New Roman;Times;serif"/>
          <w:sz w:val="20"/>
          <w:shd w:fill="FFFFFF" w:val="clear"/>
        </w:rPr>
        <w:t xml:space="preserve"> lower production costs </w:t>
      </w:r>
      <w:r>
        <w:rPr>
          <w:rFonts w:ascii="Times New Roman;Times;serif" w:hAnsi="Times New Roman;Times;serif"/>
          <w:sz w:val="20"/>
        </w:rPr>
        <w:t>and changes in currency exchange rates.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Operating Income</w:t>
      </w:r>
      <w:r>
        <w:rPr>
          <w:rFonts w:ascii="Times New Roman;Times;serif" w:hAnsi="Times New Roman;Times;serif"/>
          <w:sz w:val="20"/>
        </w:rPr>
        <w:t>– Our Chemicals Segment’s operating income decreased $26.7 million to $14.5 million in the first quarter of 2026 compared to $41.2 million in the first quarter of 2025, primarily as a result of the factors impacting gross margin discussed above. We estimate that changes in currency exchange rates decreased operating income by approximately $6 million in the first quarter of 2026 compared to the same period in 2025, as discussed in the effects of currency exchange rates section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Chemicals Segment’s operating income is net of amortization of purchase accounting adjustments made in conjunction with our acquisitions of interests in NL and Kronos. As a result, we recognize additional depreciation expense above the amounts Kronos reports separately, substantially all of which is included within cost of sales. We recognized additional depreciation expense of $.6 million and $.5 million in the first three months of 2026 and 2025, respectively, which reduced our reported Chemicals Segment’s operating income as compared to amounts reported by Kronos.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Currency Exchange Rates </w:t>
      </w:r>
      <w:r>
        <w:rPr>
          <w:rFonts w:ascii="Times New Roman;Times;serif" w:hAnsi="Times New Roman;Times;serif"/>
          <w:sz w:val="20"/>
        </w:rPr>
        <w:t>– Our Chemicals Segment has substantial operations and assets located outside the United States (primarily in Germany, Belgium, Norway and Canada). The majority of our Chemicals Segment’s sales from non-U.S. operations are denominated in currencies other than the U.S. dollar, principally the euro, other major European currencies and the Canadian dollar. A portion of our Chemicals Segment’s sales generated from its non-U.S. operations is denominated in the U.S. dollar (and consequently our Chemicals Segment’s non-U.S. operations will generally hold U.S. dollars from time to time). Certain raw materials used in all our Chemicals Segment’s production facilities, primarily titanium-containing feedstocks, are purchased primarily in U.S. dollars, while labor and other production and administrative costs are incurred primarily in local currencies. Consequently, the translated U.S. dollar value of our Chemicals Segment’s non-U.S. sales and operating results are subject to currency exchange rate fluctuations which may favorably or unfavorably impact reported earnings and may affect the comparability of period-to-period operating results. In addition to the impact of the translation of sales and expenses over time, our Chemicals Segment’s non-U.S. operations also generate currency transaction gains and losses which primarily relate to (i) the difference between the currency exchange rates in effect when non-local currency sales or operating costs (primarily U.S. dollar denominated) are initially accrued and when such amounts are settled with the non-local currency, (ii) changes in currency exchange rates during time periods when our Chemicals Segment’s non-U.S. operations are holding non-local currency (primarily U.S. dollars), and (iii) relative changes in the aggregate fair value of currency forward contracts held from time to time. We periodically use currency forward contracts to manage a portion of our currency exchange risk, and relative changes in the aggregate fair value of any currency forward contracts we hold from time to time serves in part to mitigate the currency transaction gains or losses we would recognize from the first two items described above.</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66">
                <wp:simplePos x="0" y="0"/>
                <wp:positionH relativeFrom="page">
                  <wp:posOffset>0</wp:posOffset>
                </wp:positionH>
                <wp:positionV relativeFrom="line">
                  <wp:posOffset>635</wp:posOffset>
                </wp:positionV>
                <wp:extent cx="6480175" cy="175260"/>
                <wp:effectExtent l="0" t="0" r="0" b="0"/>
                <wp:wrapNone/>
                <wp:docPr id="265"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Fluctuations in currency exchange rates had the following effects on our Chemicals Segment’s sales and operating income for the periods indicated.</w:t>
      </w:r>
    </w:p>
    <w:tbl>
      <w:tblPr>
        <w:tblW w:w="8019" w:type="dxa"/>
        <w:jc w:val="left"/>
        <w:tblInd w:w="0" w:type="dxa"/>
        <w:tblLayout w:type="fixed"/>
        <w:tblCellMar>
          <w:top w:w="0" w:type="dxa"/>
          <w:left w:w="0" w:type="dxa"/>
          <w:bottom w:w="0" w:type="dxa"/>
          <w:right w:w="0" w:type="dxa"/>
        </w:tblCellMar>
      </w:tblPr>
      <w:tblGrid>
        <w:gridCol w:w="1576"/>
        <w:gridCol w:w="346"/>
        <w:gridCol w:w="235"/>
        <w:gridCol w:w="386"/>
        <w:gridCol w:w="386"/>
        <w:gridCol w:w="235"/>
        <w:gridCol w:w="386"/>
        <w:gridCol w:w="386"/>
        <w:gridCol w:w="284"/>
        <w:gridCol w:w="467"/>
        <w:gridCol w:w="346"/>
        <w:gridCol w:w="485"/>
        <w:gridCol w:w="730"/>
        <w:gridCol w:w="346"/>
        <w:gridCol w:w="524"/>
        <w:gridCol w:w="901"/>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000760" cy="175260"/>
                      <wp:effectExtent l="0" t="0" r="0" b="0"/>
                      <wp:wrapNone/>
                      <wp:docPr id="266" name="Frame266"/>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49225" cy="175260"/>
                      <wp:effectExtent l="0" t="0" r="0" b="0"/>
                      <wp:wrapNone/>
                      <wp:docPr id="268" name="Frame268"/>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45110" cy="175260"/>
                      <wp:effectExtent l="0" t="0" r="0" b="0"/>
                      <wp:wrapNone/>
                      <wp:docPr id="269" name="Frame269"/>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45110" cy="175260"/>
                      <wp:effectExtent l="0" t="0" r="0" b="0"/>
                      <wp:wrapNone/>
                      <wp:docPr id="270" name="Frame27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49225" cy="175260"/>
                      <wp:effectExtent l="0" t="0" r="0" b="0"/>
                      <wp:wrapNone/>
                      <wp:docPr id="271" name="Frame271"/>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45110" cy="175260"/>
                      <wp:effectExtent l="0" t="0" r="0" b="0"/>
                      <wp:wrapNone/>
                      <wp:docPr id="272" name="Frame27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45110" cy="175260"/>
                      <wp:effectExtent l="0" t="0" r="0" b="0"/>
                      <wp:wrapNone/>
                      <wp:docPr id="273" name="Frame27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80340" cy="175260"/>
                      <wp:effectExtent l="0" t="0" r="0" b="0"/>
                      <wp:wrapNone/>
                      <wp:docPr id="274" name="Frame274"/>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96545" cy="175260"/>
                      <wp:effectExtent l="0" t="0" r="0" b="0"/>
                      <wp:wrapNone/>
                      <wp:docPr id="275" name="Frame275"/>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07975" cy="175260"/>
                      <wp:effectExtent l="0" t="0" r="0" b="0"/>
                      <wp:wrapNone/>
                      <wp:docPr id="277" name="Frame277"/>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63550" cy="175260"/>
                      <wp:effectExtent l="0" t="0" r="0" b="0"/>
                      <wp:wrapNone/>
                      <wp:docPr id="278" name="Frame278"/>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32740" cy="175260"/>
                      <wp:effectExtent l="0" t="0" r="0" b="0"/>
                      <wp:wrapNone/>
                      <wp:docPr id="280" name="Frame280"/>
                      <a:graphic xmlns:a="http://schemas.openxmlformats.org/drawingml/2006/main">
                        <a:graphicData uri="http://schemas.microsoft.com/office/word/2010/wordprocessingShape">
                          <wps:wsp>
                            <wps:cNvSpPr txBox="1"/>
                            <wps:spPr>
                              <a:xfrm>
                                <a:off x="0" y="0"/>
                                <a:ext cx="332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72135" cy="175260"/>
                      <wp:effectExtent l="0" t="0" r="0" b="0"/>
                      <wp:wrapNone/>
                      <wp:docPr id="281" name="Frame28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019" w:type="dxa"/>
            <w:gridSpan w:val="16"/>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Impact of changes in currency exchange rates</w:t>
            </w:r>
          </w:p>
        </w:tc>
      </w:tr>
      <w:tr>
        <w:trPr/>
        <w:tc>
          <w:tcPr>
            <w:tcW w:w="8019"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2026 vs March 31, 2025</w: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5"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center"/>
              <w:rPr/>
            </w:pPr>
            <w:r>
              <w:rPr/>
              <w:t>​</w:t>
            </w:r>
          </w:p>
        </w:tc>
        <w:tc>
          <w:tcPr>
            <w:tcW w:w="235"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center"/>
              <w:rPr/>
            </w:pPr>
            <w:r>
              <w:rPr/>
              <w:t>​</w:t>
            </w:r>
          </w:p>
        </w:tc>
        <w:tc>
          <w:tcPr>
            <w:tcW w:w="284" w:type="dxa"/>
            <w:tcBorders/>
            <w:vAlign w:val="center"/>
          </w:tcPr>
          <w:p>
            <w:pPr>
              <w:pStyle w:val="TableContents"/>
              <w:bidi w:val="0"/>
              <w:spacing w:before="0" w:after="1"/>
              <w:ind w:left="0" w:right="0" w:hanging="0"/>
              <w:jc w:val="center"/>
              <w:rPr/>
            </w:pPr>
            <w:r>
              <w:rPr/>
              <w:t>​</w:t>
            </w:r>
          </w:p>
        </w:tc>
        <w:tc>
          <w:tcPr>
            <w:tcW w:w="46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Translation</w:t>
            </w:r>
          </w:p>
        </w:tc>
        <w:tc>
          <w:tcPr>
            <w:tcW w:w="346" w:type="dxa"/>
            <w:tcBorders/>
            <w:vAlign w:val="center"/>
          </w:tcPr>
          <w:p>
            <w:pPr>
              <w:pStyle w:val="TableContents"/>
              <w:bidi w:val="0"/>
              <w:spacing w:before="0" w:after="1"/>
              <w:ind w:left="0" w:right="0" w:hanging="0"/>
              <w:jc w:val="center"/>
              <w:rPr/>
            </w:pPr>
            <w:r>
              <w:rPr/>
              <w:t>​</w:t>
            </w:r>
          </w:p>
        </w:tc>
        <w:tc>
          <w:tcPr>
            <w:tcW w:w="524"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5"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center"/>
              <w:rPr/>
            </w:pPr>
            <w:r>
              <w:rPr/>
              <w:t>​</w:t>
            </w:r>
          </w:p>
        </w:tc>
        <w:tc>
          <w:tcPr>
            <w:tcW w:w="235"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center"/>
              <w:rPr/>
            </w:pPr>
            <w:r>
              <w:rPr/>
              <w:t>​</w:t>
            </w:r>
          </w:p>
        </w:tc>
        <w:tc>
          <w:tcPr>
            <w:tcW w:w="284" w:type="dxa"/>
            <w:tcBorders/>
            <w:vAlign w:val="center"/>
          </w:tcPr>
          <w:p>
            <w:pPr>
              <w:pStyle w:val="TableContents"/>
              <w:bidi w:val="0"/>
              <w:spacing w:before="0" w:after="1"/>
              <w:ind w:left="0" w:right="0" w:hanging="0"/>
              <w:jc w:val="center"/>
              <w:rPr/>
            </w:pPr>
            <w:r>
              <w:rPr/>
              <w:t>​</w:t>
            </w:r>
          </w:p>
        </w:tc>
        <w:tc>
          <w:tcPr>
            <w:tcW w:w="46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gains/(losses)</w:t>
            </w:r>
          </w:p>
        </w:tc>
        <w:tc>
          <w:tcPr>
            <w:tcW w:w="346" w:type="dxa"/>
            <w:tcBorders/>
            <w:vAlign w:val="center"/>
          </w:tcPr>
          <w:p>
            <w:pPr>
              <w:pStyle w:val="TableContents"/>
              <w:bidi w:val="0"/>
              <w:spacing w:before="0" w:after="1"/>
              <w:ind w:left="0" w:right="0" w:hanging="0"/>
              <w:jc w:val="center"/>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 currency</w: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6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Transaction losses recognized</w:t>
            </w:r>
          </w:p>
        </w:tc>
        <w:tc>
          <w:tcPr>
            <w:tcW w:w="346" w:type="dxa"/>
            <w:tcBorders/>
            <w:vAlign w:val="center"/>
          </w:tcPr>
          <w:p>
            <w:pPr>
              <w:pStyle w:val="TableContents"/>
              <w:bidi w:val="0"/>
              <w:spacing w:before="0" w:after="1"/>
              <w:ind w:left="0" w:right="0" w:hanging="0"/>
              <w:jc w:val="center"/>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impact of</w:t>
            </w:r>
          </w:p>
        </w:tc>
        <w:tc>
          <w:tcPr>
            <w:tcW w:w="346" w:type="dxa"/>
            <w:tcBorders/>
            <w:vAlign w:val="center"/>
          </w:tcPr>
          <w:p>
            <w:pPr>
              <w:pStyle w:val="TableContents"/>
              <w:bidi w:val="0"/>
              <w:spacing w:before="0" w:after="1"/>
              <w:ind w:left="0" w:right="0" w:hanging="0"/>
              <w:jc w:val="center"/>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impact</w: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86" w:type="dxa"/>
            <w:tcBorders/>
            <w:vAlign w:val="center"/>
          </w:tcPr>
          <w:p>
            <w:pPr>
              <w:pStyle w:val="TableContents"/>
              <w:bidi w:val="0"/>
              <w:spacing w:before="0" w:after="1"/>
              <w:ind w:left="0" w:right="0" w:hanging="0"/>
              <w:jc w:val="center"/>
              <w:rPr/>
            </w:pPr>
            <w:r>
              <w:rPr/>
              <w:t>  ​ ​ ​</w:t>
            </w:r>
          </w:p>
        </w:tc>
        <w:tc>
          <w:tcPr>
            <w:tcW w:w="6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86" w:type="dxa"/>
            <w:tcBorders/>
            <w:vAlign w:val="center"/>
          </w:tcPr>
          <w:p>
            <w:pPr>
              <w:pStyle w:val="TableContents"/>
              <w:bidi w:val="0"/>
              <w:spacing w:before="0" w:after="1"/>
              <w:ind w:left="0" w:right="0" w:hanging="0"/>
              <w:jc w:val="center"/>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46" w:type="dxa"/>
            <w:tcBorders/>
            <w:vAlign w:val="center"/>
          </w:tcPr>
          <w:p>
            <w:pPr>
              <w:pStyle w:val="TableContents"/>
              <w:bidi w:val="0"/>
              <w:spacing w:before="0" w:after="1"/>
              <w:ind w:left="0" w:right="0" w:hanging="0"/>
              <w:jc w:val="center"/>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rate changes</w:t>
            </w:r>
          </w:p>
        </w:tc>
        <w:tc>
          <w:tcPr>
            <w:tcW w:w="346" w:type="dxa"/>
            <w:tcBorders/>
            <w:vAlign w:val="center"/>
          </w:tcPr>
          <w:p>
            <w:pPr>
              <w:pStyle w:val="TableContents"/>
              <w:bidi w:val="0"/>
              <w:spacing w:before="0" w:after="1"/>
              <w:ind w:left="0" w:right="0" w:hanging="0"/>
              <w:jc w:val="center"/>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 vs 2025</w:t>
            </w:r>
          </w:p>
        </w:tc>
      </w:tr>
      <w:tr>
        <w:trPr/>
        <w:tc>
          <w:tcPr>
            <w:tcW w:w="8019"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097" w:type="dxa"/>
            <w:gridSpan w:val="14"/>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15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Impact on:</w:t>
            </w:r>
          </w:p>
        </w:tc>
        <w:tc>
          <w:tcPr>
            <w:tcW w:w="346" w:type="dxa"/>
            <w:tcBorders/>
            <w:shd w:fill="CCEEFF" w:val="clear"/>
            <w:vAlign w:val="center"/>
          </w:tcPr>
          <w:p>
            <w:pPr>
              <w:pStyle w:val="TableContents"/>
              <w:bidi w:val="0"/>
              <w:spacing w:before="0" w:after="1"/>
              <w:ind w:left="0" w:right="0" w:hanging="0"/>
              <w:jc w:val="left"/>
              <w:rPr/>
            </w:pPr>
            <w:r>
              <w:rPr/>
              <w:t> </w:t>
            </w:r>
          </w:p>
        </w:tc>
        <w:tc>
          <w:tcPr>
            <w:tcW w:w="235"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right"/>
              <w:rPr/>
            </w:pPr>
            <w:r>
              <w:rPr/>
              <w:t>  ​</w:t>
            </w:r>
          </w:p>
        </w:tc>
        <w:tc>
          <w:tcPr>
            <w:tcW w:w="386" w:type="dxa"/>
            <w:tcBorders/>
            <w:shd w:fill="CCEEFF" w:val="clear"/>
            <w:vAlign w:val="center"/>
          </w:tcPr>
          <w:p>
            <w:pPr>
              <w:pStyle w:val="TableContents"/>
              <w:bidi w:val="0"/>
              <w:spacing w:before="0" w:after="1"/>
              <w:ind w:left="0" w:right="0" w:hanging="0"/>
              <w:jc w:val="left"/>
              <w:rPr/>
            </w:pPr>
            <w:r>
              <w:rPr/>
              <w:t> </w:t>
            </w:r>
          </w:p>
        </w:tc>
        <w:tc>
          <w:tcPr>
            <w:tcW w:w="235"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right"/>
              <w:rPr/>
            </w:pPr>
            <w:r>
              <w:rPr/>
              <w:t>  ​</w:t>
            </w:r>
          </w:p>
        </w:tc>
        <w:tc>
          <w:tcPr>
            <w:tcW w:w="386" w:type="dxa"/>
            <w:tcBorders/>
            <w:shd w:fill="CCEEFF" w:val="clear"/>
            <w:vAlign w:val="center"/>
          </w:tcPr>
          <w:p>
            <w:pPr>
              <w:pStyle w:val="TableContents"/>
              <w:bidi w:val="0"/>
              <w:spacing w:before="0" w:after="1"/>
              <w:ind w:left="0" w:right="0" w:hanging="0"/>
              <w:jc w:val="left"/>
              <w:rPr/>
            </w:pPr>
            <w:r>
              <w:rPr/>
              <w:t> </w:t>
            </w:r>
          </w:p>
        </w:tc>
        <w:tc>
          <w:tcPr>
            <w:tcW w:w="28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485" w:type="dxa"/>
            <w:tcBorders/>
            <w:shd w:fill="CCEEFF" w:val="clear"/>
            <w:vAlign w:val="center"/>
          </w:tcPr>
          <w:p>
            <w:pPr>
              <w:pStyle w:val="TableContents"/>
              <w:bidi w:val="0"/>
              <w:spacing w:before="0" w:after="1"/>
              <w:ind w:left="0" w:right="0" w:hanging="0"/>
              <w:jc w:val="left"/>
              <w:rPr/>
            </w:pPr>
            <w:r>
              <w:rPr/>
              <w:t>​</w:t>
            </w:r>
          </w:p>
        </w:tc>
        <w:tc>
          <w:tcPr>
            <w:tcW w:w="73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24"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  ​</w:t>
            </w:r>
          </w:p>
        </w:tc>
      </w:tr>
      <w:tr>
        <w:trPr/>
        <w:tc>
          <w:tcPr>
            <w:tcW w:w="1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6"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6"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1"/>
              <w:ind w:left="0" w:right="0" w:hanging="0"/>
              <w:jc w:val="left"/>
              <w:rPr/>
            </w:pPr>
            <w:r>
              <w:rPr/>
              <w:t>​</w:t>
            </w:r>
          </w:p>
        </w:tc>
        <w:tc>
          <w:tcPr>
            <w:tcW w:w="5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3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8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3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8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4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left"/>
              <w:rPr/>
            </w:pPr>
            <w:r>
              <w:rPr/>
              <w:t> </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524"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$30 million increase in our Chemicals Segment net sales (translation gains) was caused primarily by a weakening of the U.S. dollar relative to the euro, as our euro-denominated sales were translated into more U.S. dollars in 2026 as compared to 2025. The weakening of the U.S. dollar relative to the Canadian dollar and the Norwegian krone in 2026 did not have a significant effect on our net sales, as a substantial portion of the sales generated by our Canadian and Norwegian operations is denominated in the U.S. dollar.</w:t>
      </w:r>
    </w:p>
    <w:p>
      <w:pPr>
        <w:pStyle w:val="TextBody"/>
        <w:bidi w:val="0"/>
        <w:spacing w:before="240" w:after="120"/>
        <w:ind w:left="0" w:right="0" w:firstLine="720"/>
        <w:jc w:val="both"/>
        <w:rPr>
          <w:rFonts w:ascii="Times New Roman;Times;serif" w:hAnsi="Times New Roman;Times;serif"/>
          <w:sz w:val="20"/>
        </w:rPr>
      </w:pPr>
      <w:r>
        <w:rPr>
          <w:rFonts w:ascii="Times New Roman;Times;serif" w:hAnsi="Times New Roman;Times;serif"/>
          <w:sz w:val="20"/>
        </w:rPr>
        <w:t>The $6 million decrease in our Chemicals Segment’s operating income was comprised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Higher net currency transaction losses of approximately $1 million primarily caused by relative changes in currency exchange rates at each applicable balance sheet date between the U.S. dollar and the euro, Canadian dollar and the Norwegian krone, and between the euro and the Norwegian krone, which causes increases or decreases, as applicable, in U.S. dollar-denominated receivables and payables and U.S. dollar currency held by our Chemicals Segment’s non-U.S. operations, and in Norwegian krone denominated receivables and payables held by our Chemicals Segment’s non-U.S. operations. In the first quarter of 2025, our Chemicals Segment entered into a currency forward contract to purchase €25 million at an exchange rate of €1.05 per U.S. dollar. Our Chemicals Segment recognized a $.9 million currency transaction gain which was included in our Condensed Consolidated Statement of Income for the three months ended March 31, 2025,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$5 million from net currency translation losses primarily caused by a weakening of the U.S. dollar relative to the Canadian dollar, Norwegian krone and euro, as our Chemicals Segment’s local currency-denominated operating costs were translated into more U.S dollars in 2026 as compared to 2025. The net translation gains from the favorable effects of the weaker U.S dollar on euro-denominated sales more than offset the negative effects on euro-denominated operating costs being translated into more U.S. dollars in 2026 as compared to 2025.</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Outlook –</w:t>
      </w:r>
      <w:r>
        <w:rPr>
          <w:rFonts w:ascii="Times New Roman;Times;serif" w:hAnsi="Times New Roman;Times;serif"/>
          <w:sz w:val="20"/>
        </w:rPr>
        <w:t xml:space="preserve"> During the first quarter of 2026, our Chemicals Segment’s sales volumes improved compared to the same period in 2025, primarily driven by higher sales volumes in our Chemicals Segment’s North American, Latin American, and export markets. While our Chemicals Segment gained market share in Europe as a result of competitor capacity reductions in 2025, these gains were not sufficient to offset further weakening end-market demand in the region. Although customers remain reluctant to build inventory, order lead times have increased, which provides our Chemicals Segment with greater flexibility in near-and intermediate-term production planning. Our Chemicals Segment’s order backlog at the beginning of 2026 was generally higher than the comparable prior-year period and has continued to show positive trends entering the second quarter. However, overall demand remains below historical levels, and the timing and sustainability of a broader market recovery remain uncertain. Our Chemicals Segment implemented price increases during the first quarter of 2026; however, selling prices remain below 2025 levels, and additional price increases will be required to improve its operating margins.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During the fourth quarter of 2025, our Chemicals Segment implemented cost reduction initiatives, including workforce reductions and other measures, to permanently improve its cost structure and enable more efficient operation of its facilities at lower production rates for extended periods. Our Chemicals Segment operated its facilities slightly below normal capacity during the first quarter of 2026.  Our Chemicals Segment’s operating model balances improved cost efficiency with flexibility to respond to changes in demand. During the first quarter of 2026, our Chemicals Segment sold through higher cost inventory produced in the fourth quarter of 2025 and expects gross margin to improve as it realizes the benefit of lower cost inventory produced during 2026.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Industry supply conditions tightened during the first quarter of 2026 due to the recent geopolitical conflict in the Middle East and related supply chain disruptions, including sulfuric acid pricing pressures, and higher energy costs, particularly in Europe. As a result, our Chemicals Segment is beginning to experience higher shipping and production costs driven by increased energy, utility and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83">
                <wp:simplePos x="0" y="0"/>
                <wp:positionH relativeFrom="page">
                  <wp:posOffset>0</wp:posOffset>
                </wp:positionH>
                <wp:positionV relativeFrom="line">
                  <wp:posOffset>635</wp:posOffset>
                </wp:positionV>
                <wp:extent cx="6480175" cy="175260"/>
                <wp:effectExtent l="0" t="0" r="0" b="0"/>
                <wp:wrapNone/>
                <wp:docPr id="282"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raw material costs, especially in Europe. These cost pressures are expected to persist as long as uncertainty related to the conflict in the Middle East and broader global conditions continue. In response to rising costs, our Chemicals Segment implemented surcharges in most major markets and announced price increases effective in the second quarter of 2026. Our Chemicals Segment expects TiO₂ selling prices to continue to rise during 2026, which would help mitigate increases in distribution, raw material, energy, and other production costs, although margins will remain below historical levels.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Chemicals Segment is focused on improving operating margins through pricing actions, disciplined cost management, and continued execution of its operating cost structural realignment initiatives. Our Chemicals Segment is also continuing to pursue targeted market share opportunities in regions and markets impacted by competitor curtailments, closures, logistical disruptions, or trade measures such as tariffs or duties that have reduced the competitiveness of low-cost imports. These actions are intended to support improved operating performance while maintaining flexibility in the event of continued demand volatility.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Liquidity and capital resources remain sufficient to support our Chemicals Segment’s operations and planned capital investments. While our Chemicals Segment typically experiences a significant seasonal cash usage in the first quarter, our Chemicals Segment expects cash on hand to improve over the remainder of the year. Our Chemicals Segment will continue to actively manage working capital, including inventories and receivables, to bolster operating cash flows and maintain financial flexibility. Our Chemicals Segment believes its revolver availability, combined with the absence of near-term debt maturities and improved operating cash flows, will provide adequate liquidity for expected working capital needs and capital allocation requirements.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expectations for the TiO</w:t>
      </w:r>
      <w:r>
        <w:rPr>
          <w:rFonts w:ascii="Times New Roman;Times;serif" w:hAnsi="Times New Roman;Times;serif"/>
          <w:sz w:val="15"/>
        </w:rPr>
        <w:t>2</w:t>
      </w:r>
      <w:r>
        <w:rPr>
          <w:rFonts w:ascii="Times New Roman;Times;serif" w:hAnsi="Times New Roman;Times;serif"/>
          <w:sz w:val="20"/>
        </w:rPr>
        <w:t xml:space="preserve"> industry and our Chemicals Segment’s operations are based on a number of factors outside its control. Our Chemicals Segment’s operations are affected by global and regional economic, political and regulatory factors, and it has experienced global market disruptions. Future impacts on our Chemicals Segment’s operations will depend on, among other things, future energy costs, the effect of newly enacted tariffs in jurisdictions where it or its customers and suppliers operate, its success in implementing mitigation strategies, and the impact of economic conditions, consumer confidence, and geopolitical events on its operations or its customers’ and suppliers’ operations, all of which remain uncertain and cannot be predicted.</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Component Products –</w:t>
      </w:r>
    </w:p>
    <w:p>
      <w:pPr>
        <w:pStyle w:val="TextBody"/>
        <w:bidi w:val="0"/>
        <w:spacing w:before="120" w:after="240"/>
        <w:ind w:left="0" w:right="0" w:firstLine="720"/>
        <w:jc w:val="both"/>
        <w:rPr>
          <w:rFonts w:ascii="Times New Roman;Times;serif" w:hAnsi="Times New Roman;Times;serif"/>
          <w:sz w:val="20"/>
        </w:rPr>
      </w:pPr>
      <w:r>
        <w:rPr>
          <w:rFonts w:ascii="Times New Roman;Times;serif" w:hAnsi="Times New Roman;Times;serif"/>
          <w:sz w:val="20"/>
        </w:rPr>
        <w:t>Our Component Products Segment’s product offerings consist of a significantly large number of products that have a wide variation in selling price and manufacturing cost, which results in certain practical limitations on its ability to quantify the impact of changes in individual product sales quantities and selling prices on the segment’s net sales, cost of sales and gross margin. In addition, small variations in period-to-period net sales, cost of sales and gross margin can result from changes in the relative mix of our Component Products Segment’s products sold. The key performance indicator for our Component Products Segment is operating income</w:t>
      </w:r>
      <w:r>
        <w:rPr>
          <w:rFonts w:ascii="Times New Roman;Times;serif" w:hAnsi="Times New Roman;Times;serif"/>
          <w:b/>
          <w:sz w:val="20"/>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Our Component Products Segment’s operating income in the first quarter of 2026 was $7.1 million compared to $5.9 million in the first quarter of 2025. The increase in operating income in the first quarter of 2026 compared to 2025 is primarily due to higher gross margin at the security products reporting unit and, to a lesser extent, the impact of higher sales at the marine components reporting unit.</w:t>
      </w:r>
    </w:p>
    <w:tbl>
      <w:tblPr>
        <w:tblW w:w="5614" w:type="dxa"/>
        <w:jc w:val="left"/>
        <w:tblInd w:w="0" w:type="dxa"/>
        <w:tblLayout w:type="fixed"/>
        <w:tblCellMar>
          <w:top w:w="0" w:type="dxa"/>
          <w:left w:w="0" w:type="dxa"/>
          <w:bottom w:w="0" w:type="dxa"/>
          <w:right w:w="0" w:type="dxa"/>
        </w:tblCellMar>
      </w:tblPr>
      <w:tblGrid>
        <w:gridCol w:w="1741"/>
        <w:gridCol w:w="346"/>
        <w:gridCol w:w="221"/>
        <w:gridCol w:w="489"/>
        <w:gridCol w:w="379"/>
        <w:gridCol w:w="221"/>
        <w:gridCol w:w="489"/>
        <w:gridCol w:w="391"/>
        <w:gridCol w:w="991"/>
        <w:gridCol w:w="34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105535" cy="175260"/>
                      <wp:effectExtent l="0" t="0" r="0" b="0"/>
                      <wp:wrapNone/>
                      <wp:docPr id="283" name="Frame283"/>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40335" cy="175260"/>
                      <wp:effectExtent l="0" t="0" r="0" b="0"/>
                      <wp:wrapNone/>
                      <wp:docPr id="285" name="Frame28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10515" cy="175260"/>
                      <wp:effectExtent l="0" t="0" r="0" b="0"/>
                      <wp:wrapNone/>
                      <wp:docPr id="286" name="Frame286"/>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40665" cy="175260"/>
                      <wp:effectExtent l="0" t="0" r="0" b="0"/>
                      <wp:wrapNone/>
                      <wp:docPr id="287" name="Frame287"/>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40335" cy="175260"/>
                      <wp:effectExtent l="0" t="0" r="0" b="0"/>
                      <wp:wrapNone/>
                      <wp:docPr id="288" name="Frame28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10515" cy="175260"/>
                      <wp:effectExtent l="0" t="0" r="0" b="0"/>
                      <wp:wrapNone/>
                      <wp:docPr id="289" name="Frame289"/>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48285" cy="175260"/>
                      <wp:effectExtent l="0" t="0" r="0" b="0"/>
                      <wp:wrapNone/>
                      <wp:docPr id="290" name="Frame29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29285" cy="175260"/>
                      <wp:effectExtent l="0" t="0" r="0" b="0"/>
                      <wp:wrapNone/>
                      <wp:docPr id="291" name="Frame29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181"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c>
          <w:tcPr>
            <w:tcW w:w="34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9" w:type="dxa"/>
            <w:tcBorders/>
            <w:vAlign w:val="center"/>
          </w:tcPr>
          <w:p>
            <w:pPr>
              <w:pStyle w:val="TableContents"/>
              <w:bidi w:val="0"/>
              <w:spacing w:before="0" w:after="1"/>
              <w:ind w:left="0" w:right="0" w:hanging="0"/>
              <w:jc w:val="left"/>
              <w:rPr/>
            </w:pPr>
            <w:r>
              <w:rPr/>
              <w:t>  ​ ​ ​</w:t>
            </w:r>
          </w:p>
        </w:tc>
        <w:tc>
          <w:tcPr>
            <w:tcW w:w="7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1"/>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46" w:type="dxa"/>
            <w:tcBorders/>
            <w:vAlign w:val="center"/>
          </w:tcPr>
          <w:p>
            <w:pPr>
              <w:pStyle w:val="TableContents"/>
              <w:bidi w:val="0"/>
              <w:spacing w:before="0" w:after="1"/>
              <w:ind w:left="0" w:right="0" w:hanging="0"/>
              <w:jc w:val="left"/>
              <w:rPr/>
            </w:pPr>
            <w:r>
              <w:rPr/>
              <w:t>​</w:t>
            </w:r>
          </w:p>
        </w:tc>
      </w:tr>
      <w:tr>
        <w:trPr/>
        <w:tc>
          <w:tcPr>
            <w:tcW w:w="561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99"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millions)</w:t>
            </w:r>
          </w:p>
        </w:tc>
        <w:tc>
          <w:tcPr>
            <w:tcW w:w="391"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48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489"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79"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29.9</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79"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10.7</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 xml:space="preserve">6 </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4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379"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48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40.6</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 xml:space="preserve">1 </w:t>
            </w:r>
          </w:p>
        </w:tc>
        <w:tc>
          <w:tcPr>
            <w:tcW w:w="346" w:type="dxa"/>
            <w:tcBorders/>
            <w:vAlign w:val="center"/>
          </w:tcPr>
          <w:p>
            <w:pPr>
              <w:pStyle w:val="TableContents"/>
              <w:bidi w:val="0"/>
              <w:spacing w:before="0" w:after="1"/>
              <w:ind w:left="0" w:right="0" w:hanging="0"/>
              <w:jc w:val="left"/>
              <w:rPr/>
            </w:pPr>
            <w:r>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379"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27.3</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79"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13.3</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 xml:space="preserve">9 </w:t>
            </w:r>
          </w:p>
        </w:tc>
        <w:tc>
          <w:tcPr>
            <w:tcW w:w="346" w:type="dxa"/>
            <w:tcBorders/>
            <w:vAlign w:val="center"/>
          </w:tcPr>
          <w:p>
            <w:pPr>
              <w:pStyle w:val="TableContents"/>
              <w:bidi w:val="0"/>
              <w:spacing w:before="0" w:after="1"/>
              <w:ind w:left="0" w:right="0" w:hanging="0"/>
              <w:jc w:val="left"/>
              <w:rPr/>
            </w:pPr>
            <w:r>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79"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 xml:space="preserve">20 </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489" w:type="dxa"/>
            <w:tcBorders/>
            <w:vAlign w:val="center"/>
          </w:tcPr>
          <w:p>
            <w:pPr>
              <w:pStyle w:val="TableContents"/>
              <w:bidi w:val="0"/>
              <w:spacing w:before="0" w:after="1"/>
              <w:ind w:left="0" w:right="0" w:hanging="0"/>
              <w:jc w:val="right"/>
              <w:rPr/>
            </w:pPr>
            <w:r>
              <w:rPr/>
              <w:t>​</w:t>
            </w:r>
          </w:p>
        </w:tc>
        <w:tc>
          <w:tcPr>
            <w:tcW w:w="379"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489"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489" w:type="dxa"/>
            <w:tcBorders/>
            <w:shd w:fill="CCEEFF" w:val="clear"/>
            <w:vAlign w:val="center"/>
          </w:tcPr>
          <w:p>
            <w:pPr>
              <w:pStyle w:val="TableContents"/>
              <w:bidi w:val="0"/>
              <w:spacing w:before="0" w:after="1"/>
              <w:ind w:left="0" w:right="0" w:hanging="0"/>
              <w:jc w:val="right"/>
              <w:rPr/>
            </w:pPr>
            <w:r>
              <w:rPr/>
              <w:t>  ​</w:t>
            </w:r>
          </w:p>
        </w:tc>
        <w:tc>
          <w:tcPr>
            <w:tcW w:w="379"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489"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4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21" w:type="dxa"/>
            <w:tcBorders/>
            <w:vAlign w:val="center"/>
          </w:tcPr>
          <w:p>
            <w:pPr>
              <w:pStyle w:val="TableContents"/>
              <w:bidi w:val="0"/>
              <w:spacing w:before="0" w:after="1"/>
              <w:ind w:left="0" w:right="0" w:hanging="0"/>
              <w:jc w:val="left"/>
              <w:rPr/>
            </w:pPr>
            <w:r>
              <w:rPr/>
              <w:t> </w:t>
            </w:r>
          </w:p>
        </w:tc>
        <w:tc>
          <w:tcPr>
            <w:tcW w:w="48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99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4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79"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48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w:t>
            </w:r>
          </w:p>
        </w:tc>
        <w:tc>
          <w:tcPr>
            <w:tcW w:w="39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4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79"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48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9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w:t>
            </w:r>
          </w:p>
        </w:tc>
      </w:tr>
    </w:tbl>
    <w:p>
      <w:pPr>
        <w:pStyle w:val="TextBody"/>
        <w:bidi w:val="0"/>
        <w:spacing w:before="240" w:after="0"/>
        <w:ind w:left="0" w:right="0" w:firstLine="720"/>
        <w:jc w:val="both"/>
        <w:rPr>
          <w:rFonts w:ascii="Times New Roman;Times;serif" w:hAnsi="Times New Roman;Times;serif"/>
          <w:sz w:val="20"/>
        </w:rPr>
      </w:pPr>
      <w:bookmarkStart w:id="1088" w:name="_Hlk227902218"/>
      <w:bookmarkEnd w:id="1088"/>
      <w:r>
        <w:rPr>
          <w:rFonts w:ascii="Times New Roman;Times;serif" w:hAnsi="Times New Roman;Times;serif"/>
          <w:i/>
          <w:sz w:val="20"/>
        </w:rPr>
        <w:t>Net Sales </w:t>
      </w:r>
      <w:r>
        <w:rPr>
          <w:rFonts w:ascii="Times New Roman;Times;serif" w:hAnsi="Times New Roman;Times;serif"/>
          <w:sz w:val="20"/>
        </w:rPr>
        <w:t xml:space="preserve">– Our Component Products Segment’s net sales increased $.3 million in the first quarter of 2026 compared to the same period in 2025 primarily due to higher marine components sales to the industrial market partially offset by lower security products sales.  Security products net sales decreased 1% in the first quarter of 2026 compared to the same period last year primarily due to lower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94">
                <wp:simplePos x="0" y="0"/>
                <wp:positionH relativeFrom="page">
                  <wp:posOffset>0</wp:posOffset>
                </wp:positionH>
                <wp:positionV relativeFrom="line">
                  <wp:posOffset>635</wp:posOffset>
                </wp:positionV>
                <wp:extent cx="6480175" cy="175260"/>
                <wp:effectExtent l="0" t="0" r="0" b="0"/>
                <wp:wrapNone/>
                <wp:docPr id="293"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sales across a variety of markets. The decrease was driven by $.3 million lower sales to the healthcare market and $.2 million lower sales to each of the general cabinetry, electric control panel, and gas station security markets. These decreases were partially offset by $.3 million higher sales to the tool storage market and $.2 million higher sales to the institutional furniture market.  Marine components net sales increased 6% in the first quarter of 2026 compared to the same period last year primarily due to $1.9 million higher sales to the industrial market partially offset by $1.4 million lower sales to the towboat market. Towboat market sales in the first quarter of 2025 benefitted from a one-time customer stocking event that did not repeat in 2026.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Cost of Sales and Gross Margin </w:t>
      </w:r>
      <w:r>
        <w:rPr>
          <w:rFonts w:ascii="Times New Roman;Times;serif" w:hAnsi="Times New Roman;Times;serif"/>
          <w:sz w:val="20"/>
        </w:rPr>
        <w:t>– Our Component Products Segment’s cost of sales as a percentage of net sales decreased 3% in the first quarter of 2026 compared to the same period in 2025. As a result, gross margin as a percentage of net sales increased over the same period. Security products gross margin as a percentage of net sales increased in the first quarter primarily due to a more favorable customer and product mix. Marine components gross margin as a percentage of net sales decreased in the first quarter of 2026 compared to the same period last year primarily due to higher cost inventory produced during the fourth quarter of 2025 and sold in the first quarter of 2026, partially offset by increased coverage of fixed costs on higher sales.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Operating Income </w:t>
      </w:r>
      <w:r>
        <w:rPr>
          <w:rFonts w:ascii="Times New Roman;Times;serif" w:hAnsi="Times New Roman;Times;serif"/>
          <w:sz w:val="20"/>
        </w:rPr>
        <w:t xml:space="preserve">– As a percentage of net sales, our Component Products Segment’s operating income for the first quarter of 2026 increased compared to the same period of 2025 and was primarily impacted by the factors affecting sales, cost of sales and gross margin discussed above.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 xml:space="preserve">Outlook – </w:t>
      </w:r>
      <w:r>
        <w:rPr>
          <w:rFonts w:ascii="Times New Roman;Times;serif" w:hAnsi="Times New Roman;Times;serif"/>
          <w:sz w:val="20"/>
        </w:rPr>
        <w:t>Our Component Products Segment’s net sales for the first quarter of 2026 exceeded the prior year period, primarily driven by improved demand in the industrial market at the marine components reporting unit. Security products sales reflected mixed performance across the original equipment manufacturer (“OEM”) markets, driven by differences in customer demand cycles and project timing, resulting in slightly lower net sales compared to the prior year period.  Our Component Products Segment’s operating income increased compared to the prior year primarily due to a more favorable customer and product mix at the security products reporting unit and, to a lesser extent, the impact of higher sales at the marine components reporting unit.</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For the full year 2026, our Component Products Segment expects modest net sales growth as our Component Product Segment continues to align pricing, product features, and service levels with market conditions and customer requirements. Net sales growth at the marine components reporting unit is expected to be driven primarily by the industrial market. Recreational marine sales have largely stabilized and sales to the towboat market in 2026 are expected to be generally comparable to 2025 (excluding the impact of the one-time stocking event noted above). At the security products reporting unit, it expects net sales to be consistent with the prior year, reflecting anticipated continued variability across multiple OEM markets.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Our Component Products Segment expects gross margin and operating income margins across both the security products and marine components reporting units in 2026 to remain generally comparable to 2025. Operating income margin at the security products reporting unit benefited from favorable mix in the first quarter of 2026; however, margins are expected to moderate over the remainder of the year.</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Our Component Products Segment increased inventory levels across both the security products and marine components reporting units during 2025 to support customer demand. These actions included an insourcing initiative at security products and a shift in customer mix at marine components. Our Component Products Segment’s inventory levels at the end of the first quarter of 2026 were comparable to those at December 31, 2025, and are expected to remain at these levels, consistent with near-term operating requirements.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Our Component Products Segment manufactures substantially all its products in the U.S. and source a substantial majority of its raw materials from U.S. suppliers. Our Component Products Segment also sources certain components, primarily electronic components, from suppliers in Asia, including China. Beginning in the second quarter of 2025 and continuing through the first quarter of 2026, our Component Products Segment incurred tariff-related surcharges on certain raw materials, primarily electronic components. In addition, some of our Component Products Segment’s U.S.-based suppliers are applying tariff-related surcharges on certain domestically sourced materials. Where possible, our Component Products Segment increases selling prices to recover these higher raw material costs, although the extent to which our Component Products Segment can fully recover such costs will depend on a variety of factors including the ultimate tariff rate, duration of tariffs, and our Component Products Segment’s customers’ ability to substitute alternative products. Our Component Products Segment will continue to monitor current and anticipated near-term customer demand levels to ensure its production capabilities and inventories are aligned accordingly.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Our Component Products Segment’s expectations for its operations and the markets it serves are based on a number of factors outside its control. Currently, our Component Products Segment’s supply chains are stable and transportation and logistical delays are minimal. Our Component Products Segment has experienced global and domestic supply chain challenges in the past. Any future impacts on its operations will depend on, among other things, disruption to its operations or its suppliers’ operations, the effect of tariffs,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295">
                <wp:simplePos x="0" y="0"/>
                <wp:positionH relativeFrom="page">
                  <wp:posOffset>0</wp:posOffset>
                </wp:positionH>
                <wp:positionV relativeFrom="line">
                  <wp:posOffset>635</wp:posOffset>
                </wp:positionV>
                <wp:extent cx="6480175" cy="175260"/>
                <wp:effectExtent l="0" t="0" r="0" b="0"/>
                <wp:wrapNone/>
                <wp:docPr id="294"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the impact of broader economic conditions, consumer confidence, and geopolitical events affecting demand for its products or its customers’ and suppliers’ operations, all of which remain uncertain and cannot be predicted.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Real Estate Management and Development</w:t>
      </w:r>
      <w:r>
        <w:rPr>
          <w:rFonts w:ascii="Times New Roman;Times;serif" w:hAnsi="Times New Roman;Times;serif"/>
          <w:sz w:val="20"/>
        </w:rPr>
        <w:t xml:space="preserve">  –</w:t>
      </w:r>
    </w:p>
    <w:tbl>
      <w:tblPr>
        <w:tblW w:w="4740" w:type="dxa"/>
        <w:jc w:val="left"/>
        <w:tblInd w:w="0" w:type="dxa"/>
        <w:tblLayout w:type="fixed"/>
        <w:tblCellMar>
          <w:top w:w="0" w:type="dxa"/>
          <w:left w:w="0" w:type="dxa"/>
          <w:bottom w:w="0" w:type="dxa"/>
          <w:right w:w="0" w:type="dxa"/>
        </w:tblCellMar>
      </w:tblPr>
      <w:tblGrid>
        <w:gridCol w:w="1621"/>
        <w:gridCol w:w="346"/>
        <w:gridCol w:w="344"/>
        <w:gridCol w:w="589"/>
        <w:gridCol w:w="564"/>
        <w:gridCol w:w="344"/>
        <w:gridCol w:w="932"/>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029335" cy="175260"/>
                      <wp:effectExtent l="0" t="0" r="0" b="0"/>
                      <wp:wrapNone/>
                      <wp:docPr id="295" name="Frame295"/>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96"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8440" cy="175260"/>
                      <wp:effectExtent l="0" t="0" r="0" b="0"/>
                      <wp:wrapNone/>
                      <wp:docPr id="297" name="Frame297"/>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74015" cy="175260"/>
                      <wp:effectExtent l="0" t="0" r="0" b="0"/>
                      <wp:wrapNone/>
                      <wp:docPr id="298" name="Frame298"/>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58140" cy="175260"/>
                      <wp:effectExtent l="0" t="0" r="0" b="0"/>
                      <wp:wrapNone/>
                      <wp:docPr id="299" name="Frame299"/>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8440" cy="175260"/>
                      <wp:effectExtent l="0" t="0" r="0" b="0"/>
                      <wp:wrapNone/>
                      <wp:docPr id="300" name="Frame300"/>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591820" cy="175260"/>
                      <wp:effectExtent l="0" t="0" r="0" b="0"/>
                      <wp:wrapNone/>
                      <wp:docPr id="301" name="Frame301"/>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73" w:type="dxa"/>
            <w:gridSpan w:val="5"/>
            <w:tcBorders/>
            <w:vAlign w:val="center"/>
          </w:tcPr>
          <w:p>
            <w:pPr>
              <w:pStyle w:val="TableContents"/>
              <w:bidi w:val="0"/>
              <w:spacing w:before="0" w:after="1"/>
              <w:ind w:left="0" w:right="0" w:hanging="0"/>
              <w:jc w:val="center"/>
              <w:rPr/>
            </w:pPr>
            <w:r>
              <w:rPr/>
              <w:t>​</w:t>
            </w:r>
          </w:p>
        </w:tc>
      </w:tr>
      <w:tr>
        <w:trPr/>
        <w:tc>
          <w:tcPr>
            <w:tcW w:w="1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w:t>
            </w:r>
          </w:p>
        </w:tc>
      </w:tr>
      <w:tr>
        <w:trPr/>
        <w:tc>
          <w:tcPr>
            <w:tcW w:w="1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64" w:type="dxa"/>
            <w:tcBorders/>
            <w:vAlign w:val="center"/>
          </w:tcPr>
          <w:p>
            <w:pPr>
              <w:pStyle w:val="TableContents"/>
              <w:bidi w:val="0"/>
              <w:spacing w:before="0" w:after="1"/>
              <w:ind w:left="0" w:right="0" w:hanging="0"/>
              <w:jc w:val="center"/>
              <w:rPr/>
            </w:pPr>
            <w:r>
              <w:rPr/>
              <w:t>  ​ ​ ​</w:t>
            </w:r>
          </w:p>
        </w:tc>
        <w:tc>
          <w:tcPr>
            <w:tcW w:w="12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74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73"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564"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9.7</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564" w:type="dxa"/>
            <w:tcBorders/>
            <w:vAlign w:val="center"/>
          </w:tcPr>
          <w:p>
            <w:pPr>
              <w:pStyle w:val="TableContents"/>
              <w:bidi w:val="0"/>
              <w:spacing w:before="0" w:after="1"/>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564" w:type="dxa"/>
            <w:tcBorders/>
            <w:shd w:fill="CCEEFF" w:val="clear"/>
            <w:vAlign w:val="center"/>
          </w:tcPr>
          <w:p>
            <w:pPr>
              <w:pStyle w:val="TableContents"/>
              <w:bidi w:val="0"/>
              <w:spacing w:before="0" w:after="1"/>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Operating income </w:t>
            </w:r>
          </w:p>
        </w:tc>
        <w:tc>
          <w:tcPr>
            <w:tcW w:w="346"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564"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2"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11.3</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 xml:space="preserve">General – </w:t>
      </w:r>
      <w:r>
        <w:rPr>
          <w:rFonts w:ascii="Times New Roman;Times;serif" w:hAnsi="Times New Roman;Times;serif"/>
          <w:sz w:val="20"/>
        </w:rPr>
        <w:t xml:space="preserve">Our Real Estate Management and Development Segment consists of BMI and LandWell. BMI and LandWell own real property in Henderson, Nevada. LandWell is actively engaged in developing certain real estate in Henderson, Nevada including approximately 2,100 acres zoned for residential/planned community purposes.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LandWell began marketing land for sale in the residential/planned community in December 2013 and sold the last remaining parcel during 2025. In addition, adjacent to the residential/planned community, LandWell has been actively marketing and selling land zoned for commercial and light industrial use and sold the last of those remaining parcels during the first quarter of 2026. Although land sales may be completed, we do not recognize revenue until we have satisfied the criteria for revenue recognition. In some instances, LandWell will receive cash proceeds at the time the contract closes and record deferred revenue for some or all of the cash amount received, with such deferred revenue being recognized in subsequent periods. Although all of the land in the residential/planned community has been sold, we continue to complete our development obligations. We expect the development work to be completed by the end of 2027.</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 Sales and Operating Income  –</w:t>
      </w:r>
      <w:r>
        <w:rPr>
          <w:rFonts w:ascii="Times New Roman;Times;serif" w:hAnsi="Times New Roman;Times;serif"/>
          <w:sz w:val="20"/>
        </w:rPr>
        <w:t xml:space="preserve"> Substantially all of the net sales from our Real Estate Management and Development Segment in the first quarter of 2026 and 2025 were from land sales. Net sales increased $1.2 million in the first quarter of 2026 compared to the same period in 2025 primarily due to the sale of the final commercial parcel for $7.3 million, which had no further development obligations and was therefore recognized immediately as revenue. This increase was partially offset by the effects of a slower pace of development activity for previously sold parcels within the residential/planned community as our Real Estate Management and Development Segment nears completion of its development work. As noted above, we recognize revenue in our residential/planned community over time using cost-based input methods. All of the revenue we recognized in the first quarters of 2025 and 2026 for our residential/planned community was under this method of revenue recognition. The pace of development activities is dictated by a number of factors such as city permit and design approval, approval from the Nevada Department of Environmental Protection, labor and materials availability, and the amount of remaining development obligations. Cost of sales was $2.8 million in the first quarter of 2026 compared to $4.6 million in the first quarter of 2025. Included in operating income for the first quarter of 2026 was income related to tax increment infrastructure reimbursement of $5.4 million.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 xml:space="preserve">Outlook – </w:t>
      </w:r>
      <w:r>
        <w:rPr>
          <w:rFonts w:ascii="Times New Roman;Times;serif" w:hAnsi="Times New Roman;Times;serif"/>
          <w:sz w:val="20"/>
        </w:rPr>
        <w:t xml:space="preserve">LandWell is focused on completing development of the land it manages for the residential/planned community in Henderson. At March 31, 2026, all of the land in the residential/planned community had been sold and all saleable acreage zoned for light industrial and commercial use adjacent to the 2,100 acre residential/planned community has also been sold, with the final parcel closing in the first quarter of 2026. At March 31, 2026 we have deferred revenue of $24.8 million related to post-closing obligations on land sales in the residential/planned community closed prior to 2026. Because we recognize revenue over time using cost-based inputs, we will continue to recognize revenue on land previously sold over the development period, even though we have already received all the cash proceeds related to these sales. We currently expect to recognize all remaining deferred revenue during 2026. Any delays or curtailments in infrastructure development related to post-closing obligation activities would delay the timing of revenue recognized on these previously closed land sales.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Under LandWell’s development agreement with the City of Henderson, the issuance of a specified number of housing permits requires LandWell to complete certain large community-wide infrastructure projects. Construction on several of these large projects began in late 2021 and is expected to be completed in 2027. We expect 2026 land development costs to be comparable to those in 2025 due to the timing of planned infrastructure projects and the availability of certain construction materials. Because these large infrastructure projects relate to the entirety of the residential/planned community, the associated costs are not part of the cost-based inputs used to recognize revenue, and therefore, this spending will not correlate to revenue recognition. However, this spending is expected to be eligible for tax increment reimbursement under our Owner Participation Agreement (“OPA”) with the City of Henderson, and delays or curtailments in eligible infrastructure development activities will also delay LandWell’s ability to submit completed costs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03">
                <wp:simplePos x="0" y="0"/>
                <wp:positionH relativeFrom="page">
                  <wp:posOffset>0</wp:posOffset>
                </wp:positionH>
                <wp:positionV relativeFrom="line">
                  <wp:posOffset>635</wp:posOffset>
                </wp:positionV>
                <wp:extent cx="6480175" cy="175260"/>
                <wp:effectExtent l="0" t="0" r="0" b="0"/>
                <wp:wrapNone/>
                <wp:docPr id="302" name="Frame3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to the City for approval of additional OPA note receivables. We currently expect to receive approval for the remaining $11 million infrastructure reimbursement note receivables – up to the $170 million cap – in 2026, and we expect to receive cash payments on the notes for the next 5 to 7 years. </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General Corporate and Other Items – 2026 Compared to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Changes in the Market Value of Valhi Common Stock held by Subsidiaries </w:t>
      </w:r>
      <w:r>
        <w:rPr>
          <w:rFonts w:ascii="Times New Roman;Times;serif" w:hAnsi="Times New Roman;Times;serif"/>
          <w:sz w:val="20"/>
        </w:rPr>
        <w:t>– Our subsidiaries, Kronos and NL, hold shares of our common stock. As discussed in the 2025 Annual Report, we account for our proportional interest in these shares of our common stock as treasury stock at Kronos’ and NL’s historical cost basis. The remaining portion of these shares of our common stock, which are attributable to the noncontrolling interest of Kronos and NL, are reflected in our Condensed Consolidated Balance Sheet at fair value. Kronos and NL recognize unrealized gains or losses on these shares of our common stock in the determination of each of their respective net income or loss. Under the principles of consolidation we eliminate any gains or losses associated with our common stock to the extent of our proportional ownership interest in each subsidiary. We recognized a gain of $.5 million in the first quarter of 2026 compared to a loss of $1.7 million in the first quarter of 2025 in our Condensed Consolidated Statements of Income, which represents the unrealized gain (loss) in respect of these shares during such periods attributable to the noncontrolling interest of Kronos and NL.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Interest Income and Other </w:t>
      </w:r>
      <w:r>
        <w:rPr>
          <w:rFonts w:ascii="Times New Roman;Times;serif" w:hAnsi="Times New Roman;Times;serif"/>
          <w:sz w:val="20"/>
        </w:rPr>
        <w:t>– Interest income and other decreased $.8 million in the first quarter of 2026 compared to the same period of 2025 primarily due to decreased average investment balances and lower average interest rates. See Note 12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Other General Corporate Items </w:t>
      </w:r>
      <w:r>
        <w:rPr>
          <w:rFonts w:ascii="Times New Roman;Times;serif" w:hAnsi="Times New Roman;Times;serif"/>
          <w:sz w:val="20"/>
        </w:rPr>
        <w:t>– Corporate expenses in the first quarter of 2026 declined slightly as compared to the same period in 2025 primarily due to lower administrative and environmental remediation and related costs. Included in corporate expense are: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fees and related costs at NL of $.6 million in the first quarter of 2026 compared to $.5 million in the first quarter of 2025;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environmental remediation and related costs of $.7 million in the first quarter of 2026 compared to $1.0 million in the first quarter of 2025. </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Overall, we currently expect that our net general corporate expenses in 2026 will be higher than in 2025 primarily due to expected increases in litigation fees and related costs. See Note 16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level of our litigation fees and related expenses varies from period to period depending upon, among other things, the number of cases in which we are currently involved, the nature of such cases and the current stage of such cases (e.g. discovery, pre-trial motions, trial or appeal, if applicable). See Note 16 to our Condensed Consolidated Financial Statements. If our current expectations regarding the number of cases in which we expect to be involved during 2026, or the nature of such cases were to change, our corporate expenses could be higher than we currently estimate.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Obligations for environmental remediation and related costs are difficult to assess and estimate and it is possible that actual costs for environmental remediation and related costs will exceed accrued amounts or that costs will be incurred in the future for sites in which we cannot currently estimate the liability. If these events occur in 2026, our corporate expense could be higher than we currently estimate. In addition, we adjust our accruals for environmental remediation and related costs as further information becomes available to us or as circumstances change. Such further information or changed circumstances could result in an increase or reduction in our accrued environmental remediation and related costs. See Note 16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Interest Expense </w:t>
      </w:r>
      <w:r>
        <w:rPr>
          <w:rFonts w:ascii="Times New Roman;Times;serif" w:hAnsi="Times New Roman;Times;serif"/>
          <w:sz w:val="20"/>
        </w:rPr>
        <w:t>– Interest expense increased $1.5 million in the first quarter of 2026 compared to the respective period in 2025 primarily due to higher overall debt levels and higher average interest rates. See Note 7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expect interest expense will be higher in 2026 as compared to 2025 primarily due to higher debt balances and higher interest rates on Kronos’ debt issued in 2025.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xml:space="preserve"> – We recognized income tax expense of $6.3 million in the first quarter of 2026 compared to income tax expense of $8.0 million in the first quarter of 2025.  The decrease in the first quarter of 2026 is primarily due to lower earnings in 2026 and the jurisdictional mix of such earnings somewhat offset by a net uncertain tax position of $2.0 million recognized in the first quarter of 2026.  During interim periods, our effective tax rate may not necessarily correspond to the current period income (loss) before taxes </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04">
                <wp:simplePos x="0" y="0"/>
                <wp:positionH relativeFrom="page">
                  <wp:posOffset>0</wp:posOffset>
                </wp:positionH>
                <wp:positionV relativeFrom="line">
                  <wp:posOffset>635</wp:posOffset>
                </wp:positionV>
                <wp:extent cx="6480175" cy="175260"/>
                <wp:effectExtent l="0" t="0" r="0" b="0"/>
                <wp:wrapNone/>
                <wp:docPr id="303" name="Frame3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due to the application of accounting for income taxes in interim periods which requires us to base our effective rate on full year projections of pre-tax income (loss).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recognize deferred income taxes with respect to the excess of the financial reporting carrying amount over the income tax basis of our direct investment in Kronos common stock because the exemption under GAAP to avoid such recognition of deferred income taxes is not available to us. At December 31, 2025, we recognized a deferred income tax liability with respect to our direct investment in Kronos of $49.7 million. There is a maximum amount (or cap) of such deferred income taxes we are required to recognize with respect to our direct investment in Kronos. The maximum amount of the cap is $153.6 million. During the first three months of 2026, we recognized a $1.4 million non-cash deferred income tax benefit with respect to our direct investment in Kronos. This benefit reflects a decrease in the deferred income taxes required to be recognized on the excess of the financial reporting carrying amount over the income tax basis of our direct investment in Kronos common stock and was related to our equity in Kronos’ net income during the period. We recognized a similar deferred income tax benefit of $.5 million in the first three months of 2025. A portion of the net change with respect to the excess of the financial reporting carrying amount over the income tax basis of our direct investment in Kronos common stock during such periods related to our equity in Kronos’ other comprehensive income (loss) items, and the amounts allocated to other comprehensive income (loss) items includes amounts related to our equity in Kronos’ other comprehensive income (loss) items.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At December 31, 2025, our Chemicals Segment had</w:t>
      </w:r>
      <w:r>
        <w:rPr>
          <w:rFonts w:ascii="Times New Roman;Times;serif" w:hAnsi="Times New Roman;Times;serif"/>
          <w:color w:val="FF0000"/>
          <w:sz w:val="20"/>
        </w:rPr>
        <w:t xml:space="preserve"> </w:t>
      </w:r>
      <w:r>
        <w:rPr>
          <w:rFonts w:ascii="Times New Roman;Times;serif" w:hAnsi="Times New Roman;Times;serif"/>
          <w:sz w:val="20"/>
        </w:rPr>
        <w:t>German corporate and trade net operating loss (“NOL”) carryforwards of $510.8 million (deferred tax asset (“DTA”) of $57.2 million) and $46.3 million (DTA of $5.0 million), respectively.  We have previously concluded no valuation allowance is required to be recognized with respect to such carryforwards principally because (i) such carryforwards have an indefinite carryforward period, (ii) we have utilized a portion of such carryforwards during the most recent three-year period and (iii) we currently expect to utilize the remainder of such carryforwards over the long term.  At March 31, 2026, we continue to conclude no valuation allowance is required to be recognized for our German DTAs. However, prior to the complete utilization of such carryforwards, if we were to generate additional losses in our German operations for an extended period of time, or if applicable laws were to change such that the carryforward periods were more limited, it is possible that we might conclude the benefit of such carryforwards would no longer meet the more-likely-than-not recognition criteria, at which point we would be required to recognize a valuation allowance against some or all of the then-remaining tax benefit associated with the carryforwards.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See Note 13 to our Condensed Consolidated Financial Statements for a tabular reconciliation of our statutory income tax provision to our actual tax provision.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Noncontrolling Interest in Net Income of Subsidiaries </w:t>
      </w:r>
      <w:r>
        <w:rPr>
          <w:rFonts w:ascii="Times New Roman;Times;serif" w:hAnsi="Times New Roman;Times;serif"/>
          <w:sz w:val="20"/>
        </w:rPr>
        <w:t>– Noncontrolling interest in operations of subsidiaries in the first three months of 2026 was comparable to the same period in 2025 primarily due to decreased operating income at our Chemicals Segment offset by higher operating income from our Component Products and Real Estate and Management Development segments. See Note 14 to our Condensed Consolidated Financial Statements.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Consolidated 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Operating Activities </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Trends in cash flows from operating activities (excluding the impact of significant asset dispositions and relative changes in assets and liabilities) are generally similar to trends in our operating income. In addition to the impact of the operating, investing and financing cash flows discussed below, changes in the amount of cash, cash equivalents and restricted cash we report from period to period can be impacted by changes in currency exchange rates, since a portion of our cash, cash equivalents and restricted cash is held by our non-U.S.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used in operating activities was $46.1 million in the first three months of 2026 compared to cash used in operating activities of $155.9 million in the first three months of 2025. This $109.8 million decrease in cash used in operating activities in the first three months of 2026 includes: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consolidated operating income of $32.9 million in the first three months of 2026, a decrease of $17.2 million compared to operating income of $50.1 million in the first three months of 2025;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lower cash paid for environmental remediation and related costs of $56.3 million primairly due to the payment of a settlement for an environmental site in the first quarter of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lower amount of net cash used in 2026 of $60.2 million associated with relative changes in our receivables, inventories, land held for investment, payables and accrued liabilities; and</w:t>
            </w:r>
          </w:p>
        </w:tc>
      </w:tr>
    </w:tbl>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05">
                <wp:simplePos x="0" y="0"/>
                <wp:positionH relativeFrom="page">
                  <wp:posOffset>0</wp:posOffset>
                </wp:positionH>
                <wp:positionV relativeFrom="line">
                  <wp:posOffset>635</wp:posOffset>
                </wp:positionV>
                <wp:extent cx="6480175" cy="175260"/>
                <wp:effectExtent l="0" t="0" r="0" b="0"/>
                <wp:wrapNone/>
                <wp:docPr id="304" name="Frame3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cash paid for interest in 2026 of $5.9 million primarily due to increased debt levels and higher average interest rates relative to the comparable period in 2025 and the timing of interest payments.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noted in our discussion of our Real Estate Management and Development segment above, we have sold all of the land in our residential/planned community, and in accordance with our development agreement with the City of Henderson and our contractual obligations with builders, we expect to complete our land development obligations over the next two years.  Because we have largely received cash proceeds from land sales, we expect LandWell to generate negative operating cash flows as it completes its required land development work.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Changes in working capital were affected by accounts receivable and inventory changes as shown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Kronos’ average days sales outstanding (“DSO”) increased from December 31, 2025 to March 31, 2026 primarily due to the relative changes in the timing of sales and collections.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Kronos’ average days sales in inventory (“DSI”) decreased from December 31, 2025 to March 31, 2026 primarily due to lower inventory volumes as sales volumes exceeded production volumes during the first quarter of 2026.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CompX’s average DSO increased from December 31, 2025 to March 31, 2026 primarily as a result of relative changes in the timing of sales and collections relative to the end of the quarter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CompX’s average DSI decreased from December 31, 2025 to March 31, 2026 primarily due to lower days in inventory at the marine components reporting unit driven by higher sales volumes in the first quarter of 2026 as compared to the fourth quarter of 2025. </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comparative purposes, we have also provided comparable prior period numbers below.</w:t>
      </w:r>
    </w:p>
    <w:tbl>
      <w:tblPr>
        <w:tblW w:w="8094" w:type="dxa"/>
        <w:jc w:val="left"/>
        <w:tblInd w:w="0" w:type="dxa"/>
        <w:tblLayout w:type="fixed"/>
        <w:tblCellMar>
          <w:top w:w="0" w:type="dxa"/>
          <w:left w:w="0" w:type="dxa"/>
          <w:bottom w:w="0" w:type="dxa"/>
          <w:right w:w="0" w:type="dxa"/>
        </w:tblCellMar>
      </w:tblPr>
      <w:tblGrid>
        <w:gridCol w:w="2011"/>
        <w:gridCol w:w="346"/>
        <w:gridCol w:w="1306"/>
        <w:gridCol w:w="346"/>
        <w:gridCol w:w="1021"/>
        <w:gridCol w:w="346"/>
        <w:gridCol w:w="1306"/>
        <w:gridCol w:w="346"/>
        <w:gridCol w:w="106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276985" cy="175260"/>
                      <wp:effectExtent l="0" t="0" r="0" b="0"/>
                      <wp:wrapNone/>
                      <wp:docPr id="305" name="Frame305"/>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829310" cy="175260"/>
                      <wp:effectExtent l="0" t="0" r="0" b="0"/>
                      <wp:wrapNone/>
                      <wp:docPr id="307" name="Frame307"/>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335" cy="175260"/>
                      <wp:effectExtent l="0" t="0" r="0" b="0"/>
                      <wp:wrapNone/>
                      <wp:docPr id="309" name="Frame30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829310" cy="175260"/>
                      <wp:effectExtent l="0" t="0" r="0" b="0"/>
                      <wp:wrapNone/>
                      <wp:docPr id="311" name="Frame311"/>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2"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76910" cy="175260"/>
                      <wp:effectExtent l="0" t="0" r="0" b="0"/>
                      <wp:wrapNone/>
                      <wp:docPr id="313" name="Frame31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center"/>
              <w:rPr/>
            </w:pPr>
            <w:r>
              <w:rPr/>
              <w:t>  ​ ​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46" w:type="dxa"/>
            <w:tcBorders/>
            <w:vAlign w:val="center"/>
          </w:tcPr>
          <w:p>
            <w:pPr>
              <w:pStyle w:val="TableContents"/>
              <w:bidi w:val="0"/>
              <w:spacing w:before="0" w:after="0"/>
              <w:ind w:left="0" w:right="0" w:hanging="0"/>
              <w:jc w:val="center"/>
              <w:rPr/>
            </w:pPr>
            <w:r>
              <w:rPr/>
              <w:t>  ​ ​ ​</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center"/>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Kronos:</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Days sales outstanding</w:t>
            </w:r>
          </w:p>
        </w:tc>
        <w:tc>
          <w:tcPr>
            <w:tcW w:w="34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 days</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 days</w:t>
            </w:r>
          </w:p>
        </w:tc>
        <w:tc>
          <w:tcPr>
            <w:tcW w:w="34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 days</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 days</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Days sales in inventory</w:t>
            </w:r>
          </w:p>
        </w:tc>
        <w:tc>
          <w:tcPr>
            <w:tcW w:w="346"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 days</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 days</w:t>
            </w:r>
          </w:p>
        </w:tc>
        <w:tc>
          <w:tcPr>
            <w:tcW w:w="346"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 days</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 days</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CompX:</w:t>
            </w:r>
          </w:p>
        </w:tc>
        <w:tc>
          <w:tcPr>
            <w:tcW w:w="34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  ​</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Days sales outstanding</w:t>
            </w:r>
          </w:p>
        </w:tc>
        <w:tc>
          <w:tcPr>
            <w:tcW w:w="346"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 days</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 days</w:t>
            </w:r>
          </w:p>
        </w:tc>
        <w:tc>
          <w:tcPr>
            <w:tcW w:w="346"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 days</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 days</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Days sales in inventory</w:t>
            </w:r>
          </w:p>
        </w:tc>
        <w:tc>
          <w:tcPr>
            <w:tcW w:w="34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 days</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 days</w:t>
            </w:r>
          </w:p>
        </w:tc>
        <w:tc>
          <w:tcPr>
            <w:tcW w:w="34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 days</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 days</w:t>
            </w:r>
          </w:p>
        </w:tc>
      </w:tr>
    </w:tbl>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15">
                <wp:simplePos x="0" y="0"/>
                <wp:positionH relativeFrom="page">
                  <wp:posOffset>0</wp:posOffset>
                </wp:positionH>
                <wp:positionV relativeFrom="line">
                  <wp:posOffset>635</wp:posOffset>
                </wp:positionV>
                <wp:extent cx="6480175" cy="175260"/>
                <wp:effectExtent l="0" t="0" r="0" b="0"/>
                <wp:wrapNone/>
                <wp:docPr id="314" name="Frame3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do not have complete access to the cash flows of our majority-owned subsidiaries, due in part to limitations contained in certain credit agreements of our subsidiaries and because we do not own 100% of these subsidiaries. A detail of our consolidated cash flows from operating activities is presented in the table below. Intercompany dividends have been eliminated.</w:t>
      </w:r>
    </w:p>
    <w:p>
      <w:pPr>
        <w:pStyle w:val="TextBody"/>
        <w:bidi w:val="0"/>
        <w:spacing w:before="0" w:after="0"/>
        <w:ind w:left="0" w:right="0" w:hanging="0"/>
        <w:jc w:val="left"/>
        <w:rPr/>
      </w:pPr>
      <w:r>
        <w:rPr/>
        <w:t>​</w:t>
      </w:r>
    </w:p>
    <w:tbl>
      <w:tblPr>
        <w:tblW w:w="6457" w:type="dxa"/>
        <w:jc w:val="left"/>
        <w:tblInd w:w="0" w:type="dxa"/>
        <w:tblLayout w:type="fixed"/>
        <w:tblCellMar>
          <w:top w:w="0" w:type="dxa"/>
          <w:left w:w="0" w:type="dxa"/>
          <w:bottom w:w="0" w:type="dxa"/>
          <w:right w:w="0" w:type="dxa"/>
        </w:tblCellMar>
      </w:tblPr>
      <w:tblGrid>
        <w:gridCol w:w="4021"/>
        <w:gridCol w:w="346"/>
        <w:gridCol w:w="211"/>
        <w:gridCol w:w="691"/>
        <w:gridCol w:w="346"/>
        <w:gridCol w:w="211"/>
        <w:gridCol w:w="631"/>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553335" cy="175260"/>
                      <wp:effectExtent l="0" t="0" r="0" b="0"/>
                      <wp:wrapNone/>
                      <wp:docPr id="315" name="Frame315"/>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7"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38785" cy="175260"/>
                      <wp:effectExtent l="0" t="0" r="0" b="0"/>
                      <wp:wrapNone/>
                      <wp:docPr id="318" name="Frame3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00685" cy="175260"/>
                      <wp:effectExtent l="0" t="0" r="0" b="0"/>
                      <wp:wrapNone/>
                      <wp:docPr id="321" name="Frame32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9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645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9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Cash provided by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Kronos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(51.3)</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Valhi exclusive of subsidiaries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14.8</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CompX</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NL exclusive of subsidiaries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Tremont exclusive of subsidiaries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BMI</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LandWell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13.2</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Eliminations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(22.2)</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(46.1)</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Investing Activities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 months ended March 31, 2026, we spent $10.6 million in capital expenditures including $10.2 million in our Chemicals Segment and $.4 million in our Component Products Segment.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Activities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 months ended March 31, 2026:</w:t>
      </w:r>
    </w:p>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Kronos had net borrowings of $58.9 million on its revolving credit facility; </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repaid $11.7 million under the Contran credit facility; and</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paid aggregate quarterly dividends to Valhi stockholders of $.08</w:t>
            </w:r>
            <w:r>
              <w:rPr>
                <w:caps w:val="false"/>
                <w:smallCaps w:val="false"/>
              </w:rPr>
              <w:t xml:space="preserve"> </w:t>
            </w:r>
            <w:r>
              <w:rPr>
                <w:rFonts w:ascii="Times New Roman;Times;serif" w:hAnsi="Times New Roman;Times;serif"/>
                <w:b w:val="false"/>
                <w:i w:val="false"/>
                <w:caps w:val="false"/>
                <w:smallCaps w:val="false"/>
                <w:sz w:val="20"/>
              </w:rPr>
              <w:t>per share ($2.3 million).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declaration and payment of future dividends, and the amount thereof, is discretionary and is dependent upon a number of factors including our current and future expected results of operations, financial condition, cash requirements for our businesses, contractual and other requirements and restrictions and other factors deemed relevant by our board of directors. The amount and timing of past dividends is not necessarily indicative of the amount or timing of any future dividends which might be paid. There are currently no contractual restrictions on the amount of dividends which we may pay. Distributions to noncontrolling interest in subsidiaries in the first three months of 2026 are comprised of CompX dividends paid to shareholders other than NL, Kronos dividends paid to shareholders other than us and NL, and LandWell dividends paid to partners other than us and BMI.</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Outstanding Debt Obligations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March 31, 2026, our consolidated indebtedness was comprised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Valhi’s $11.9 million outstanding on its $125 million credit facility with Contran which is due no earlier than December 31, 2027;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426.174 million aggregate outstanding on Kronos’ 9.50% Senior Secured Notes due March 2029 ($490.9 million carrying amount, net of unamortized premium and unamortized debt issuance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$53.7 million outstanding on Kronos’ subordinated, unsecured term loan from Contran with an interest rate of 9.54% due September 2029 (the “Contran Term Loan”); </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 million outstanding on Kronos’ revolving credit facility (the “Global Revolver”); and</w:t>
            </w:r>
          </w:p>
        </w:tc>
      </w:tr>
    </w:tbl>
    <w:tbl>
      <w:tblPr>
        <w:tblW w:w="5061" w:type="dxa"/>
        <w:jc w:val="left"/>
        <w:tblInd w:w="0" w:type="dxa"/>
        <w:tblLayout w:type="fixed"/>
        <w:tblCellMar>
          <w:top w:w="28" w:type="dxa"/>
          <w:left w:w="28" w:type="dxa"/>
          <w:bottom w:w="28" w:type="dxa"/>
          <w:right w:w="28" w:type="dxa"/>
        </w:tblCellMar>
      </w:tblPr>
      <w:tblGrid>
        <w:gridCol w:w="124"/>
        <w:gridCol w:w="256"/>
        <w:gridCol w:w="4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million on LandWell’s bank loan due April 2036.</w:t>
            </w:r>
          </w:p>
        </w:tc>
      </w:tr>
    </w:tbl>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23">
                <wp:simplePos x="0" y="0"/>
                <wp:positionH relativeFrom="page">
                  <wp:posOffset>0</wp:posOffset>
                </wp:positionH>
                <wp:positionV relativeFrom="line">
                  <wp:posOffset>635</wp:posOffset>
                </wp:positionV>
                <wp:extent cx="6480175" cy="175260"/>
                <wp:effectExtent l="0" t="0" r="0" b="0"/>
                <wp:wrapNone/>
                <wp:docPr id="322" name="Frame3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Availability under Kronos’ Global Revolver is subject to a borrowing base calculation, as defined in the agreement. The borrowing base calculated for the period ended March 31, 2026 was approximately $287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Contran Term loan is subordinated in right of payment to Kronos’ Senior Secured Notes and its Global Revolver. Kronos’ Senior Secured Notes, the Contran Term Loan and Kronos’ Global Revolver contain a number of covenants and restrictions which, among other things, restrict its ability to incur or guarantee additional debt, incur liens, pay dividends or make other restricted payments, or merge or consolidate with, or sell or transfer substantially all of its assets to, another entity, and contain other provisions and restrictive covenants customary in lending transactions of these types. Our credit agreements contain provisions which could result in the acceleration of indebtedness prior to their stated maturity for reasons other than defaults for failure to comply with typical financial or payment covenants. For example, the credit agreements allow the lender to accelerate the maturity of the indebtedness upon a change of control (as defined in the agreement) of the borrower. In addition, the credit agreements could result in the acceleration of all or a portion of the indebtedness following a sale of assets outside the ordinary course of business. The terms of all of our debt instruments are discussed in Note 9 to our Consolidated Financial Statements included in our 2025 Annual Report. We are in compliance with all of our debt covenants at March 31, 2026. We believe we will be able to continue to comply with the financial covenants contained in our debt obligations through their maturity; however, if future operating results differ materially from our expectations we may be unable to maintain compliance.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assets consist primarily of investments in operating subsidiaries, and our ability to service our obligations, including Kronos’ Senior Secured Notes and the Contran Term Loan, depends in part upon the distribution of earnings of our subsidiaries, whether in the form of dividends, advances or payments on account of intercompany obligations or otherwise. Kronos’ Senior Secured Notes are collateralized by, among other things, a first priority lien on (i) 100% of the common stock or other ownership interests of each existing and future direct domestic subsidiary of KII and the guarantors, and (ii) 65% of the voting common stock or other ownership interests and 100% of the non-voting common stock or other ownership interests of each non-U.S. subsidiary that is directly owned by KII or any guarantor. Kronos’ Global Revolver is collateralized by, among other things, a first priority lien on the borrower’s trade receivables and inventories. See Note 7 to our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Future Cash Requirements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Liquidity </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primary source of liquidity on an ongoing basis is our cash flows from operating activities and borrowings under various lines of credit and notes. We generally use these amounts to (i) fund capital expenditures, (ii) repay short-term indebtedness incurred primarily for working capital purposes and (iii) provide for the payment of dividends (including dividends paid to us by our subsidiaries) or treasury stock purchases. From time-to-time we will incur indebtedness, generally to (i) fund short-term working capital needs, (ii) refinance existing indebtedness, (iii) make investments in marketable and other securities (including the acquisition of securities issued by our subsidiaries and affiliates) or (iv) fund major capital expenditures or the acquisition of other assets outside the ordinary course of business. Occasionally we sell assets outside the ordinary course of business, and we generally use the proceeds to (i) repay existing indebtedness (including indebtedness which may have been collateralized by the assets sold), (ii) make investments in marketable and other securities, (iii) fund major capital expenditures or the acquisition of other assets outside the ordinary course of business or (iv) pay 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routinely compare our liquidity requirements and alternative uses of capital against the estimated future cash flows we expect to receive from our subsidiaries, and the estimated sales value of those units. As a result of this process, we have in the past sought, and may in the future seek, to raise additional capital, refinance or restructure indebtedness, repurchase indebtedness in the market or otherwise, modify our dividend policies, consider the sale of our interests in our subsidiaries, affiliates, business units, marketable securities or other assets, or take a combination of these and other steps, to increase liquidity, reduce indebtedness and fund future activities. Such activities have in the past and may in the future involve related companies. We may also from time to time engage in preliminary discussions with existing or potential investors regarding the timing or terms of any such refinancing or other potential transaction. From time to time, we and our subsidiaries may enter into intercompany loans as a cash management tool. Such notes are structured as revolving demand notes and pay and receive interest on terms we believe are generally more favorable than current debt and investment market rates. The companies that borrow under these notes have sufficient liquidity to repay the notes. All of these notes and related interest expense and income are eliminated in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periodically evaluate acquisitions of interests in or combinations with companies (including our affiliates) that may or may not be engaged in businesses related to our current businesses. We intend to consider such acquisition activities in the future and, in connection with this activity, may consider issuing additional equity securities and increasing indebtedness. From time to time, we also evaluate the restructuring of ownership interests among our respective subsidiaries and related companies.</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24">
                <wp:simplePos x="0" y="0"/>
                <wp:positionH relativeFrom="page">
                  <wp:posOffset>0</wp:posOffset>
                </wp:positionH>
                <wp:positionV relativeFrom="line">
                  <wp:posOffset>635</wp:posOffset>
                </wp:positionV>
                <wp:extent cx="6480175" cy="175260"/>
                <wp:effectExtent l="0" t="0" r="0" b="0"/>
                <wp:wrapNone/>
                <wp:docPr id="323" name="Frame3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upon our expectations of our operating performance, and the anticipated demands on our cash resources, we expect to have sufficient liquidity to meet our short-term (defined as the twelve-month period ending March 31, 2027) and long-term obligations (defined as the five-year period ending March 31, 2031). Kronos’ Global Revolver matures in July 2029, and at March 31, 2026 Kronos had total availability for borrowing of approximately $287 million less any amounts outstanding. The borrowing base is calculated at least quarterly, and the amount available for borrowing may change based on applicable period end balances. See Note 7 to our Condensed Consolidated Financial Statements. If actual developments differ from our expectations, our liquidity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March 31, 2026, we had an aggregate of $222.8 million of restricted and unrestricted cash, cash equivalents and marketable securities, including $23.7 million held by our non-U.S. subsidiaries. A detail by entity is presented in the table below.</w:t>
      </w:r>
    </w:p>
    <w:tbl>
      <w:tblPr>
        <w:tblW w:w="8566" w:type="dxa"/>
        <w:jc w:val="left"/>
        <w:tblInd w:w="0" w:type="dxa"/>
        <w:tblLayout w:type="fixed"/>
        <w:tblCellMar>
          <w:top w:w="0" w:type="dxa"/>
          <w:left w:w="0" w:type="dxa"/>
          <w:bottom w:w="0" w:type="dxa"/>
          <w:right w:w="0" w:type="dxa"/>
        </w:tblCellMar>
      </w:tblPr>
      <w:tblGrid>
        <w:gridCol w:w="6046"/>
        <w:gridCol w:w="146"/>
        <w:gridCol w:w="211"/>
        <w:gridCol w:w="571"/>
        <w:gridCol w:w="346"/>
        <w:gridCol w:w="336"/>
        <w:gridCol w:w="910"/>
      </w:tblGrid>
      <w:tr>
        <w:trPr/>
        <w:tc>
          <w:tcPr>
            <w:tcW w:w="6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839210" cy="175260"/>
                      <wp:effectExtent l="0" t="0" r="0" b="0"/>
                      <wp:wrapNone/>
                      <wp:docPr id="324" name="Frame324"/>
                      <a:graphic xmlns:a="http://schemas.openxmlformats.org/drawingml/2006/main">
                        <a:graphicData uri="http://schemas.microsoft.com/office/word/2010/wordprocessingShape">
                          <wps:wsp>
                            <wps:cNvSpPr txBox="1"/>
                            <wps:spPr>
                              <a:xfrm>
                                <a:off x="0" y="0"/>
                                <a:ext cx="3839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92710" cy="175260"/>
                      <wp:effectExtent l="0" t="0" r="0" b="0"/>
                      <wp:wrapNone/>
                      <wp:docPr id="325" name="Frame32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6"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362585" cy="175260"/>
                      <wp:effectExtent l="0" t="0" r="0" b="0"/>
                      <wp:wrapNone/>
                      <wp:docPr id="327" name="Frame3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3360" cy="175260"/>
                      <wp:effectExtent l="0" t="0" r="0" b="0"/>
                      <wp:wrapNone/>
                      <wp:docPr id="329" name="Frame329"/>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77850" cy="175260"/>
                      <wp:effectExtent l="0" t="0" r="0" b="0"/>
                      <wp:wrapNone/>
                      <wp:docPr id="330" name="Frame330"/>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b/>
                <w:sz w:val="20"/>
              </w:rPr>
              <w:t>Total</w:t>
            </w: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Held outside </w:t>
            </w:r>
          </w:p>
        </w:tc>
      </w:tr>
      <w:tr>
        <w:trPr/>
        <w:tc>
          <w:tcPr>
            <w:tcW w:w="60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1"/>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U.S.</w:t>
            </w:r>
          </w:p>
        </w:tc>
      </w:tr>
      <w:tr>
        <w:trPr/>
        <w:tc>
          <w:tcPr>
            <w:tcW w:w="8566"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0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374"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Kronos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33.6</w:t>
            </w:r>
          </w:p>
        </w:tc>
        <w:tc>
          <w:tcPr>
            <w:tcW w:w="34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23.7</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CompX</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49.4</w:t>
            </w:r>
          </w:p>
        </w:tc>
        <w:tc>
          <w:tcPr>
            <w:tcW w:w="346" w:type="dxa"/>
            <w:tcBorders/>
            <w:vAlign w:val="center"/>
          </w:tcPr>
          <w:p>
            <w:pPr>
              <w:pStyle w:val="TableContents"/>
              <w:bidi w:val="0"/>
              <w:spacing w:before="0" w:after="1"/>
              <w:ind w:left="0" w:right="0" w:hanging="0"/>
              <w:jc w:val="left"/>
              <w:rPr/>
            </w:pPr>
            <w:r>
              <w:rPr/>
              <w:t> </w:t>
            </w:r>
          </w:p>
        </w:tc>
        <w:tc>
          <w:tcPr>
            <w:tcW w:w="33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pPr>
            <w:r>
              <w:rPr/>
              <w:t>—</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NL exclusive of its subsidiaries</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55.9</w:t>
            </w:r>
          </w:p>
        </w:tc>
        <w:tc>
          <w:tcPr>
            <w:tcW w:w="346" w:type="dxa"/>
            <w:tcBorders/>
            <w:shd w:fill="CCEEFF" w:val="clear"/>
            <w:vAlign w:val="center"/>
          </w:tcPr>
          <w:p>
            <w:pPr>
              <w:pStyle w:val="TableContents"/>
              <w:bidi w:val="0"/>
              <w:spacing w:before="0" w:after="1"/>
              <w:ind w:left="0" w:right="0" w:hanging="0"/>
              <w:jc w:val="left"/>
              <w:rPr/>
            </w:pPr>
            <w:r>
              <w:rPr/>
              <w:t> </w:t>
            </w:r>
          </w:p>
        </w:tc>
        <w:tc>
          <w:tcPr>
            <w:tcW w:w="336"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BMI</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w:t>
            </w:r>
          </w:p>
        </w:tc>
        <w:tc>
          <w:tcPr>
            <w:tcW w:w="346" w:type="dxa"/>
            <w:tcBorders/>
            <w:vAlign w:val="center"/>
          </w:tcPr>
          <w:p>
            <w:pPr>
              <w:pStyle w:val="TableContents"/>
              <w:bidi w:val="0"/>
              <w:spacing w:before="0" w:after="1"/>
              <w:ind w:left="0" w:right="0" w:hanging="0"/>
              <w:jc w:val="left"/>
              <w:rPr/>
            </w:pPr>
            <w:r>
              <w:rPr/>
              <w:t> </w:t>
            </w:r>
          </w:p>
        </w:tc>
        <w:tc>
          <w:tcPr>
            <w:tcW w:w="33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pPr>
            <w:r>
              <w:rPr/>
              <w:t>—</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Tremont exclusive of its subsidiaries</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w:t>
            </w:r>
          </w:p>
        </w:tc>
        <w:tc>
          <w:tcPr>
            <w:tcW w:w="346" w:type="dxa"/>
            <w:tcBorders/>
            <w:shd w:fill="CCEEFF" w:val="clear"/>
            <w:vAlign w:val="center"/>
          </w:tcPr>
          <w:p>
            <w:pPr>
              <w:pStyle w:val="TableContents"/>
              <w:bidi w:val="0"/>
              <w:spacing w:before="0" w:after="1"/>
              <w:ind w:left="0" w:right="0" w:hanging="0"/>
              <w:jc w:val="left"/>
              <w:rPr/>
            </w:pPr>
            <w:r>
              <w:rPr/>
              <w:t> </w:t>
            </w:r>
          </w:p>
        </w:tc>
        <w:tc>
          <w:tcPr>
            <w:tcW w:w="336"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LandWell</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61.2</w:t>
            </w:r>
          </w:p>
        </w:tc>
        <w:tc>
          <w:tcPr>
            <w:tcW w:w="346" w:type="dxa"/>
            <w:tcBorders/>
            <w:vAlign w:val="center"/>
          </w:tcPr>
          <w:p>
            <w:pPr>
              <w:pStyle w:val="TableContents"/>
              <w:bidi w:val="0"/>
              <w:spacing w:before="0" w:after="1"/>
              <w:ind w:left="0" w:right="0" w:hanging="0"/>
              <w:jc w:val="left"/>
              <w:rPr/>
            </w:pPr>
            <w:r>
              <w:rPr/>
              <w:t> </w:t>
            </w:r>
          </w:p>
        </w:tc>
        <w:tc>
          <w:tcPr>
            <w:tcW w:w="33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pPr>
            <w:r>
              <w:rPr/>
              <w:t>—</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Valhi exclusive of its subsidiaries</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3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cash and cash equivalents, restricted cash and marketable securities</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222.8</w:t>
            </w:r>
          </w:p>
        </w:tc>
        <w:tc>
          <w:tcPr>
            <w:tcW w:w="346" w:type="dxa"/>
            <w:tcBorders/>
            <w:vAlign w:val="center"/>
          </w:tcPr>
          <w:p>
            <w:pPr>
              <w:pStyle w:val="TableContents"/>
              <w:bidi w:val="0"/>
              <w:spacing w:before="0" w:after="1"/>
              <w:ind w:left="0" w:right="0" w:hanging="0"/>
              <w:jc w:val="left"/>
              <w:rPr/>
            </w:pPr>
            <w:r>
              <w:rPr/>
              <w:t>​</w:t>
            </w:r>
          </w:p>
        </w:tc>
        <w:tc>
          <w:tcPr>
            <w:tcW w:w="3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1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23.7</w:t>
            </w:r>
          </w:p>
        </w:tc>
      </w:tr>
    </w:tbl>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Capital Expenditures and Other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expect our aggregate capital expenditures for 2026 will be approximately $64 million as follows:</w:t>
      </w:r>
    </w:p>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million by our Chemicals Segment; and</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million by our Component Products Segment.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LandWell expects to spend approximately $39 million on land development costs during 2026.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Capital spending for 2026 is expected to be funded through cash generated from operations or borrowing under our existing credit facilities. Planned capital expenditures for the remainder of 2026 at Kronos and CompX will primarily be to maintain and improve our existing facilities and, as it relates to CompX, to meet expected customer demand and maintain technology infrastructure. It is possible we will delay planned capital projects based on market conditions including but not limited to expected demand and the general availability of materials, equipment and supplies necessary to complete such projects.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Repurchases of Common Stock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Kronos and CompX have programs to repurchase common stock from time to time as market conditions permit. These stock repurchase programs do not include specific price targets or timetables and may be suspended at any time. Depending on market conditions, these programs may be terminated prior to completion. Cash on hand will be used to acquire the shares, and repurchased shares will be added to treasury shares and cancelled.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March 31, 2026, Valhi had approximately .3 million shares available to repurchase under authorizations made by our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Kronos’ board of directors previously authorized the repurchase of up to 2.0 million shares of its common stock in open market transactions, including block purchases, or in privately-negotiated transactions at unspecified prices and over an unspecified period of time. Kronos may repurchase its common stock from time to time as market conditions permit. At March 31, 2026, approximately 1.0 million shares were available for repurchase under these authorizations.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CompX’s board of directors previously authorized the repurchase of its Class A common stock in open market transactions, including block purchases, or in privately-negotiated transactions at unspecified prices and over an unspecified period of time. At March 31, 2026, approximately .5 million shares were available for repurchase under these authorizations.</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32">
                <wp:simplePos x="0" y="0"/>
                <wp:positionH relativeFrom="page">
                  <wp:posOffset>0</wp:posOffset>
                </wp:positionH>
                <wp:positionV relativeFrom="line">
                  <wp:posOffset>635</wp:posOffset>
                </wp:positionV>
                <wp:extent cx="6480175" cy="175260"/>
                <wp:effectExtent l="0" t="0" r="0" b="0"/>
                <wp:wrapNone/>
                <wp:docPr id="331" name="Frame3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Dividends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our operations are conducted primarily through subsidiaries and affiliates, our long-term ability to meet parent company level corporate obligations is largely dependent on the receipt of dividends or other distributions from our subsidiaries and affiliates. Kronos paid a regular dividend of $.05 per share in each quarter of 2025 for which we received $11.6 million. In February 2026 the Kronos board of directors approved a quarterly dividend of $.05 per share. If Kronos were to pay its $.05 per share dividend in each quarter of 2026 based on the 58.0 million shares we held of Kronos common stock at March 31, 2026, during 2026 we would receive aggregate regular dividends from Kronos of $11.6 million.  NL paid a quarterly dividend of $.09 per share in 2025 for which we received $14.5 million. In August 2025 the NL board of directors declared a special dividend of $.21 per share on its common stock. We received $8.5 million from this dividend, which is not expected to be recurring. In February 2026 the NL board of directors approved a quarterly dividend of $.10 per share. If NL were to pay its $.10 per share dividend in each quarter of 2026 based on the 40.4 million shares we held of NL common stock at March 31, 2026, during 2026 we would receive aggregate quarterly dividends from NL of $16.2 million.  BMI and LandWell pay cash dividends from time to time, but the timing and amount of such dividends are uncertain. In this regard, we received aggregate dividends from BMI and LandWell of $19.5 million in 2025 and $.8 million in April 2026. All of our ownership interest in CompX is held through our ownership in NL; as such we do not receive any dividends from CompX. Instead any dividend paid by CompX is paid to NL.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subsidiaries have various credit agreements with unrelated third-party lenders which contain customary limitations on the payment of dividends; however, these restrictions in the past have not significantly impacted their ability to pay dividends.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in our Subsidiaries and Affiliates and Other Acquisitions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 the past, and may in the future, purchase the securities of our subsidiaries and affiliates or third parties in market or privately-negotiated transactions. We base our purchase decisions on a variety of factors, including an analysis of the optimal use of our capital, taking into account the market value of the securities and the relative value of expected returns on alternative investments. In connection with these activities, we may consider issuing additional equity securities or increasing our indebtedness. We may also evaluate the restructuring of ownership interests of our businesses among our subsidiaries and related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generally do not guarantee any indebtedness or other obligations of our subsidiaries or affiliates. Our subsidiaries are not required to pay us dividends. If one or more of our subsidiaries were unable to maintain its current level of dividends, either due to restrictions contained in a credit agreement or to satisfy its liabilities or otherwise, our ability to service our liabilities or to pay dividends on our common stock could be adversely impacted. If this were to occur, we might consider reducing or eliminating our dividends or selling interests in subsidiaries or other assets. If we were required to liquidate assets to generate funds to satisfy our liabilities, we might be required to sell at less than what we believe is the long-term value of such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a $50 million revolving credit facility with a subsidiary of NL secured with approximately 35.2 million shares of the common stock of Kronos held by NL’s subsidiary as collateral. Outstanding borrowings under the credit facility, as amended, bear interest at the prime rate plus 1.875% per annum, payable quarterly, with all amounts due on December 31, 2030. The maximum principal amount which may be outstanding from time-to-time under the credit facility is limited to 50% of the value of the Kronos stock using the most recent closing price. The credit facility contains a number of covenants and restrictions which, among other things, restrict NL’s subsidiary’s ability to incur additional debt, incur liens, and merge or consolidate with, or sell or transfer substantially all of NL’s subsidiary’s assets to, another entity, and require NL’s subsidiary to maintain a minimum specified level of consolidated net worth. Upon an event of default (as defined in the credit facility), Valhi will be entitled to terminate its commitment to make further loans to NL’s subsidiary, declare the outstanding loans (with interest) immediately due and payable, and exercise its rights with respect to the collateral under the loan documents. Such collateral rights include, upon certain insolvency events with respect to NL’s subsidiary or NL, the right to purchase all of the Kronos common stock at a purchase price equal to the aggregate market value, less amounts owing to Valhi under the loan documents, and up to 50% of such purchase price may be paid by Valhi in the form of an unsecured promissory note bearing interest at the prime rate plus 2.75% per annum, payable quarterly, with all amounts due no later than five years from the date of purchase, with the remainder of such purchase price payable in cash at the date of purchase. We also eliminate any such intercompany borrowings in our Condensed Consolidated Financial Statements. There is $.5 million outstanding under this facility at March 31, 2026.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have an unsecured revolving demand promissory note with CompX which, as amended, provides for borrowings from CompX of up to $25 million. We eliminate these intercompany borrowings in our Condensed Consolidated Financial Statements. The facility, as amended, is due on demand, but in any event no earlier than December 31, 2027. We had gross borrowings of $3.1 million and gross repayments of $3.7 million during the first three months of 2026, and $7.4 million was outstanding at March 31, 2026. We could borrow $17.6 million under our current intercompany facility with CompX at March 31, 2026. CompX’s obligation to loan us money under this note is at CompX’s discretion.</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33">
                <wp:simplePos x="0" y="0"/>
                <wp:positionH relativeFrom="page">
                  <wp:posOffset>0</wp:posOffset>
                </wp:positionH>
                <wp:positionV relativeFrom="line">
                  <wp:posOffset>635</wp:posOffset>
                </wp:positionV>
                <wp:extent cx="6480175" cy="175260"/>
                <wp:effectExtent l="0" t="0" r="0" b="0"/>
                <wp:wrapNone/>
                <wp:docPr id="332" name="Frame3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in our contractual obligations since we filed our 2025 Annual Report and we refer you to that report for a complete description of these commitments.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certain commitments and contingencies, as more fully described in our 2025 Annual Report, or in Notes 13 and 16 to our Condensed Consolidated Financial Statements and in Part II, Item 1 of this Quarterly Report, including:</w:t>
      </w:r>
    </w:p>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income tax contingencies in various U.S. and non-U.S. jurisdictions;</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environmental remediation matters involving NL and BMI;</w:t>
            </w:r>
          </w:p>
        </w:tc>
      </w:tr>
    </w:tbl>
    <w:tbl>
      <w:tblPr>
        <w:tblW w:w="9801" w:type="dxa"/>
        <w:jc w:val="left"/>
        <w:tblInd w:w="0" w:type="dxa"/>
        <w:tblLayout w:type="fixed"/>
        <w:tblCellMar>
          <w:top w:w="28" w:type="dxa"/>
          <w:left w:w="28" w:type="dxa"/>
          <w:bottom w:w="28" w:type="dxa"/>
          <w:right w:w="28" w:type="dxa"/>
        </w:tblCellMar>
      </w:tblPr>
      <w:tblGrid>
        <w:gridCol w:w="124"/>
        <w:gridCol w:w="25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litigation related to NL’s former involvement in the manufacture of lead pigment and lead-based paint; and</w:t>
            </w:r>
          </w:p>
        </w:tc>
      </w:tr>
    </w:tbl>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other litigation to which we are a party.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such legal proceedings, various legislation and administrative regulations have, from time to time, been proposed that seek to (i) impose various obligations on present and former manufacturers of lead pigment and lead-based paint (including NL) with respect to asserted health concerns associated with the use of such products and (ii) effectively overturn court decisions in which NL and other pigment manufacturers have been successful. Examples of such proposed legislation include bills which would permit civil liability for damages on the basis of market share, rather than requiring plaintiffs to prove that the defendant’s product caused the alleged damage, and bills which would revive actions barred by the statute of limitations. While no legislation or regulations have been enacted to date that are expected to have a material adverse effect on our consolidated financial position, results of operations or liquidity, enactment of such legislation could have such an effect.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Note 19 to our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discussion of our critical accounting policies and estimates, refer to Part I, Item 7 - “Management’s Discussion and Analysis of Financial Condition and Results of Operations” in our 2025 Annual Report. There have been no changes in our critical accounting policies or estimates during the first three months of 2026.</w:t>
      </w:r>
    </w:p>
    <w:p>
      <w:pPr>
        <w:pStyle w:val="Normal"/>
        <w:bidi w:val="0"/>
        <w:spacing w:before="0" w:after="0"/>
        <w:jc w:val="left"/>
        <w:rPr>
          <w:sz w:val="4"/>
          <w:szCs w:val="4"/>
        </w:rPr>
      </w:pPr>
      <w:r>
        <w:rPr>
          <w:sz w:val="4"/>
          <w:szCs w:val="4"/>
        </w:rPr>
      </w:r>
      <w:bookmarkStart w:id="1089" w:name="ITEM3QUANTITATIVEANDQUALITATIVEDISCLOSUR"/>
      <w:bookmarkStart w:id="1090" w:name="_4de60244_999b_4f00_b307_f315e3979d9b"/>
      <w:bookmarkStart w:id="1091" w:name="ITEM3QUANTITATIVEANDQUALITATIVEDISCLOSUR"/>
      <w:bookmarkStart w:id="1092" w:name="_4de60244_999b_4f00_b307_f315e3979d9b"/>
      <w:bookmarkEnd w:id="1091"/>
      <w:bookmarkEnd w:id="1092"/>
    </w:p>
    <w:tbl>
      <w:tblPr>
        <w:tblW w:w="7937" w:type="dxa"/>
        <w:jc w:val="left"/>
        <w:tblInd w:w="0" w:type="dxa"/>
        <w:tblLayout w:type="fixed"/>
        <w:tblCellMar>
          <w:top w:w="0" w:type="dxa"/>
          <w:left w:w="0" w:type="dxa"/>
          <w:bottom w:w="0" w:type="dxa"/>
          <w:right w:w="0" w:type="dxa"/>
        </w:tblCellMar>
      </w:tblPr>
      <w:tblGrid>
        <w:gridCol w:w="841"/>
        <w:gridCol w:w="7096"/>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3.</w:t>
            </w:r>
          </w:p>
        </w:tc>
        <w:tc>
          <w:tcPr>
            <w:tcW w:w="70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market risk, including currency exchange rates, interest rates, equity security prices, and raw material prices. There have been no material changes in these market risks since we filed our 2025 Annual Report, and refer you to Part I, Item 7A. – “Quantitative and Qualitative Disclosure About Market Risk” in our 2025 Annual Report.</w:t>
      </w:r>
    </w:p>
    <w:p>
      <w:pPr>
        <w:pStyle w:val="Normal"/>
        <w:bidi w:val="0"/>
        <w:spacing w:before="0" w:after="0"/>
        <w:jc w:val="left"/>
        <w:rPr>
          <w:sz w:val="4"/>
          <w:szCs w:val="4"/>
        </w:rPr>
      </w:pPr>
      <w:r>
        <w:rPr>
          <w:sz w:val="4"/>
          <w:szCs w:val="4"/>
        </w:rPr>
      </w:r>
      <w:bookmarkStart w:id="1093" w:name="_38cdf75d_60ad_4cde_8f77_7ed04688d7de"/>
      <w:bookmarkStart w:id="1094" w:name="ITEM4CONTROLSANDPROCEDURES"/>
      <w:bookmarkStart w:id="1095" w:name="_38cdf75d_60ad_4cde_8f77_7ed04688d7de"/>
      <w:bookmarkStart w:id="1096" w:name="ITEM4CONTROLSANDPROCEDURES"/>
      <w:bookmarkEnd w:id="1095"/>
      <w:bookmarkEnd w:id="1096"/>
    </w:p>
    <w:tbl>
      <w:tblPr>
        <w:tblW w:w="3887" w:type="dxa"/>
        <w:jc w:val="left"/>
        <w:tblInd w:w="0" w:type="dxa"/>
        <w:tblLayout w:type="fixed"/>
        <w:tblCellMar>
          <w:top w:w="0" w:type="dxa"/>
          <w:left w:w="0" w:type="dxa"/>
          <w:bottom w:w="0" w:type="dxa"/>
          <w:right w:w="0" w:type="dxa"/>
        </w:tblCellMar>
      </w:tblPr>
      <w:tblGrid>
        <w:gridCol w:w="841"/>
        <w:gridCol w:w="3046"/>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4.</w:t>
            </w:r>
          </w:p>
        </w:tc>
        <w:tc>
          <w:tcPr>
            <w:tcW w:w="30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maintain disclosure controls and procedures which, as defined in Exchange Act Rule 13a-15(e), means controls and other procedures that are designed to ensure that information required to be disclosed in the reports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Each of Michael S. Simmons, our Vice Chairman of the Board, President and Chief Executive Officer, and Amy Allbach Samford, our Executive Vice President and Chief Financial Officer, have evaluated the design and effectiveness of our disclosure controls and procedures as of March 31, 2026. Based upon their evaluation, these executive officers have concluded that our disclosure controls and procedures were effective as of the date of such evaluation.</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34">
                <wp:simplePos x="0" y="0"/>
                <wp:positionH relativeFrom="page">
                  <wp:posOffset>0</wp:posOffset>
                </wp:positionH>
                <wp:positionV relativeFrom="line">
                  <wp:posOffset>635</wp:posOffset>
                </wp:positionV>
                <wp:extent cx="6480175" cy="175260"/>
                <wp:effectExtent l="0" t="0" r="0" b="0"/>
                <wp:wrapNone/>
                <wp:docPr id="333" name="Frame3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which, as defined by Exchange Act Rule 13a-15(f) means a process designed by, or under the supervision of, our principal executive and principal financial officers, or persons performing similar functions,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our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GAAP, and that receipts and expenditures are being made only in accordance with authorizations of management and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an unauthorized acquisition, use or disposition of assets that could have a material effect on our Condensed Consolidated Financial Statements.</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has been no change to our internal control over financial reporting during the quarter ended March 31, 2026 that has materially affected, or is reasonably likely to materially affect, our internal control over financial reporting.</w:t>
      </w:r>
    </w:p>
    <w:p>
      <w:pPr>
        <w:pStyle w:val="TextBody"/>
        <w:bidi w:val="0"/>
        <w:spacing w:before="0" w:after="240"/>
        <w:ind w:left="0" w:right="0" w:hanging="0"/>
        <w:jc w:val="center"/>
        <w:rPr>
          <w:rFonts w:ascii="Times New Roman;Times;serif" w:hAnsi="Times New Roman;Times;serif"/>
          <w:b/>
          <w:sz w:val="20"/>
        </w:rPr>
      </w:pPr>
      <w:bookmarkStart w:id="1097" w:name="PARTIIOTHERINFORMATION"/>
      <w:bookmarkStart w:id="1098" w:name="_05d89106_ee53_4d03_bc7d_2d98af5c7f1d"/>
      <w:bookmarkEnd w:id="1097"/>
      <w:bookmarkEnd w:id="1098"/>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099" w:name="ITEM1LEGALPROCEEDINGS"/>
      <w:bookmarkEnd w:id="1099"/>
      <w:r>
        <w:rPr>
          <w:rFonts w:ascii="Times New Roman;Times;serif" w:hAnsi="Times New Roman;Times;serif"/>
          <w:b/>
          <w:sz w:val="20"/>
        </w:rPr>
        <w:t>ITEM 1. Legal Proceedings.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to the matters discussed below, refer to Note 16 to our Condensed Consolidated Financial Statements and our 2025 Annual Report for descriptions of certain legal proceedings.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March 2026, NL and several other defendants were served with a complaint in </w:t>
      </w:r>
      <w:r>
        <w:rPr>
          <w:rFonts w:ascii="Times New Roman;Times;serif" w:hAnsi="Times New Roman;Times;serif"/>
          <w:i/>
          <w:sz w:val="20"/>
        </w:rPr>
        <w:t>City of Columbus  v. NL Industries, Inc.</w:t>
      </w:r>
      <w:r>
        <w:rPr>
          <w:rFonts w:ascii="Times New Roman;Times;serif" w:hAnsi="Times New Roman;Times;serif"/>
          <w:sz w:val="20"/>
        </w:rPr>
        <w:t>, (Franklin County, Ohio Court of Common Pleas, Case No. 26 CV 002355), which was subsequently removed to federal court (United States District Court for the Southern District of Ohio, Case No. 2:26-cv-00465-MHW-SCS).  In the complaint, the City of Columbus, Ohio, asserts that NL and several other former lead manufacturers are liable for the cost of replacing lead and galvanized service lines in the City’s water delivery system and related water treatment costs, under theories of public nuisance and civil conspiracy.  NL intends to deny liability and will defend vigorously against all claims.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South Carolina Public Water Company PFAS Litigation</w:t>
      </w:r>
      <w:r>
        <w:rPr>
          <w:rFonts w:ascii="Times New Roman;Times;serif" w:hAnsi="Times New Roman;Times;serif"/>
          <w:sz w:val="20"/>
        </w:rPr>
        <w:t xml:space="preserve">. In April 2026, CompX filed answers denying liability in all four pending PFAS cases. CompX intends to defend vigorously against all claims.  </w:t>
      </w:r>
    </w:p>
    <w:p>
      <w:pPr>
        <w:pStyle w:val="TextBody"/>
        <w:bidi w:val="0"/>
        <w:spacing w:before="0" w:after="240"/>
        <w:ind w:left="0" w:right="0" w:hanging="0"/>
        <w:jc w:val="left"/>
        <w:rPr>
          <w:rFonts w:ascii="Times New Roman;Times;serif" w:hAnsi="Times New Roman;Times;serif"/>
          <w:b/>
          <w:sz w:val="20"/>
        </w:rPr>
      </w:pPr>
      <w:bookmarkStart w:id="1100" w:name="ITEM1ARISKFACTORS"/>
      <w:bookmarkStart w:id="1101" w:name="_5dd863ed_8e33_443c_b257_d67ac09f8562"/>
      <w:bookmarkEnd w:id="1100"/>
      <w:bookmarkEnd w:id="1101"/>
      <w:r>
        <w:rPr>
          <w:rFonts w:ascii="Times New Roman;Times;serif" w:hAnsi="Times New Roman;Times;serif"/>
          <w:b/>
          <w:sz w:val="20"/>
        </w:rPr>
        <w:t>ITEM 1A. 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discussion of the risk factors related to our businesses, please refer to Part I, Item 1A, “Risk Factors,” in our 2025 Annual Report.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35">
                <wp:simplePos x="0" y="0"/>
                <wp:positionH relativeFrom="page">
                  <wp:posOffset>0</wp:posOffset>
                </wp:positionH>
                <wp:positionV relativeFrom="line">
                  <wp:posOffset>635</wp:posOffset>
                </wp:positionV>
                <wp:extent cx="6480175" cy="175260"/>
                <wp:effectExtent l="0" t="0" r="0" b="0"/>
                <wp:wrapNone/>
                <wp:docPr id="334" name="Frame3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rFonts w:ascii="Times New Roman;Times;serif" w:hAnsi="Times New Roman;Times;serif"/>
          <w:b/>
          <w:sz w:val="20"/>
        </w:rPr>
      </w:pPr>
      <w:bookmarkStart w:id="1102" w:name="ITEM6EXHIBITS"/>
      <w:bookmarkStart w:id="1103" w:name="_ac2137d3_f41a_4969_b36b_3214517d2dac"/>
      <w:bookmarkEnd w:id="1102"/>
      <w:bookmarkEnd w:id="1103"/>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702"/>
        <w:gridCol w:w="346"/>
        <w:gridCol w:w="9157"/>
      </w:tblGrid>
      <w:tr>
        <w:trPr/>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45770" cy="175260"/>
                      <wp:effectExtent l="0" t="0" r="0" b="0"/>
                      <wp:wrapNone/>
                      <wp:docPr id="335" name="Frame335"/>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814695" cy="175260"/>
                      <wp:effectExtent l="0" t="0" r="0" b="0"/>
                      <wp:wrapNone/>
                      <wp:docPr id="336" name="Frame336"/>
                      <a:graphic xmlns:a="http://schemas.openxmlformats.org/drawingml/2006/main">
                        <a:graphicData uri="http://schemas.microsoft.com/office/word/2010/wordprocessingShape">
                          <wps:wsp>
                            <wps:cNvSpPr txBox="1"/>
                            <wps:spPr>
                              <a:xfrm>
                                <a:off x="0" y="0"/>
                                <a:ext cx="5814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No.</w:t>
            </w:r>
          </w:p>
        </w:tc>
        <w:tc>
          <w:tcPr>
            <w:tcW w:w="346" w:type="dxa"/>
            <w:tcBorders/>
            <w:vAlign w:val="center"/>
          </w:tcPr>
          <w:p>
            <w:pPr>
              <w:pStyle w:val="TableContents"/>
              <w:bidi w:val="0"/>
              <w:spacing w:before="0" w:after="0"/>
              <w:ind w:left="0" w:right="0" w:hanging="0"/>
              <w:jc w:val="left"/>
              <w:rPr/>
            </w:pPr>
            <w:r>
              <w:rPr/>
              <w:t>  ​ ​ ​</w:t>
            </w:r>
          </w:p>
        </w:tc>
        <w:tc>
          <w:tcPr>
            <w:tcW w:w="915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Index</w:t>
            </w:r>
          </w:p>
        </w:tc>
      </w:tr>
      <w:tr>
        <w:trPr/>
        <w:tc>
          <w:tcPr>
            <w:tcW w:w="7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Restated and Amended Richards Bay Chloride Slag Sales Agreement by and between Richards Bay Titanium (Proprietary) Limited (acting through its sales agent) and Kronos (US), Inc. effective January 1, 2016, as amended through Amendment dated February 13, 2026 (and effective January 1, 2026) between Richards Bay Titanium (Proprietary) Limited (acting through its sales agent Rio Tinto Iron and Titanium Canada Inc.) and Kronos (US), Inc.</w:t>
              </w:r>
            </w:hyperlink>
            <w:hyperlink r:id="rId3">
              <w:r>
                <w:rPr>
                  <w:rStyle w:val="InternetLink"/>
                  <w:rFonts w:ascii="Times New Roman;Times;serif" w:hAnsi="Times New Roman;Times;serif"/>
                  <w:caps w:val="false"/>
                  <w:smallCaps w:val="false"/>
                  <w:sz w:val="20"/>
                </w:rPr>
                <w:t xml:space="preserve"> – </w:t>
              </w:r>
            </w:hyperlink>
            <w:hyperlink r:id="rId4">
              <w:r>
                <w:rPr>
                  <w:rStyle w:val="InternetLink"/>
                  <w:rFonts w:ascii="Times New Roman;Times;serif" w:hAnsi="Times New Roman;Times;serif"/>
                  <w:b w:val="false"/>
                  <w:i w:val="false"/>
                  <w:caps w:val="false"/>
                  <w:smallCaps w:val="false"/>
                  <w:sz w:val="20"/>
                </w:rPr>
                <w:t>incorporated by reference to Exhibit 10.1 of Kronos Worldwide, Inc.’s Quarterly Report on Form 10-Q for the quarter ended March 31, 2026.</w:t>
              </w:r>
            </w:hyperlink>
          </w:p>
        </w:tc>
      </w:tr>
      <w:tr>
        <w:trPr/>
        <w:tc>
          <w:tcPr>
            <w:tcW w:w="7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left"/>
              <w:rPr/>
            </w:pPr>
            <w:hyperlink w:anchor="vhl-20260331xex31d1.htm">
              <w:r>
                <w:rPr>
                  <w:rStyle w:val="InternetLink"/>
                  <w:rFonts w:ascii="Times New Roman;Times;serif" w:hAnsi="Times New Roman;Times;serif"/>
                  <w:b w:val="false"/>
                  <w:i w:val="false"/>
                  <w:caps w:val="false"/>
                  <w:smallCaps w:val="false"/>
                  <w:sz w:val="20"/>
                </w:rPr>
                <w:t>Certification</w:t>
              </w:r>
            </w:hyperlink>
          </w:p>
        </w:tc>
      </w:tr>
      <w:tr>
        <w:trPr/>
        <w:tc>
          <w:tcPr>
            <w:tcW w:w="7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left"/>
              <w:rPr/>
            </w:pPr>
            <w:hyperlink w:anchor="vhl-20260331xex31d2.htm">
              <w:r>
                <w:rPr>
                  <w:rStyle w:val="InternetLink"/>
                  <w:rFonts w:ascii="Times New Roman;Times;serif" w:hAnsi="Times New Roman;Times;serif"/>
                  <w:b w:val="false"/>
                  <w:i w:val="false"/>
                  <w:caps w:val="false"/>
                  <w:smallCaps w:val="false"/>
                  <w:sz w:val="20"/>
                </w:rPr>
                <w:t>Certification</w:t>
              </w:r>
            </w:hyperlink>
          </w:p>
        </w:tc>
      </w:tr>
      <w:tr>
        <w:trPr/>
        <w:tc>
          <w:tcPr>
            <w:tcW w:w="7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left"/>
              <w:rPr/>
            </w:pPr>
            <w:hyperlink w:anchor="vhl-20260331xex32d1.htm">
              <w:r>
                <w:rPr>
                  <w:rStyle w:val="InternetLink"/>
                  <w:rFonts w:ascii="Times New Roman;Times;serif" w:hAnsi="Times New Roman;Times;serif"/>
                  <w:b w:val="false"/>
                  <w:i w:val="false"/>
                  <w:caps w:val="false"/>
                  <w:smallCaps w:val="false"/>
                  <w:sz w:val="20"/>
                </w:rPr>
                <w:t>Certification</w:t>
              </w:r>
            </w:hyperlink>
          </w:p>
        </w:tc>
      </w:tr>
      <w:tr>
        <w:trPr/>
        <w:tc>
          <w:tcPr>
            <w:tcW w:w="7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 the instance document does not appear in the Interactive Data File because its XBRL tags are embedded within the Inline XBRL document.</w:t>
            </w:r>
          </w:p>
        </w:tc>
      </w:tr>
      <w:tr>
        <w:trPr/>
        <w:tc>
          <w:tcPr>
            <w:tcW w:w="7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w:t>
            </w:r>
          </w:p>
        </w:tc>
      </w:tr>
      <w:tr>
        <w:trPr/>
        <w:tc>
          <w:tcPr>
            <w:tcW w:w="7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w:t>
            </w:r>
          </w:p>
        </w:tc>
      </w:tr>
      <w:tr>
        <w:trPr/>
        <w:tc>
          <w:tcPr>
            <w:tcW w:w="7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w:t>
            </w:r>
          </w:p>
        </w:tc>
      </w:tr>
      <w:tr>
        <w:trPr/>
        <w:tc>
          <w:tcPr>
            <w:tcW w:w="7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w:t>
            </w:r>
          </w:p>
        </w:tc>
      </w:tr>
      <w:tr>
        <w:trPr/>
        <w:tc>
          <w:tcPr>
            <w:tcW w:w="7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r>
      <w:tr>
        <w:trPr/>
        <w:tc>
          <w:tcPr>
            <w:tcW w:w="7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_______________</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Certain portions of this exhibit have been omitted pursuant to Item 601(b)(10)(iv) of Regulation S-K.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shd w:fill="FFFFFF" w:val="clear"/>
          </w:rPr>
          <w:t>Table of Contents</w:t>
        </w:r>
      </w:hyperlink>
      <w:r>
        <mc:AlternateContent>
          <mc:Choice Requires="wps">
            <w:drawing>
              <wp:anchor behindDoc="0" distT="0" distB="0" distL="0" distR="0" simplePos="0" locked="0" layoutInCell="1" allowOverlap="1" relativeHeight="338">
                <wp:simplePos x="0" y="0"/>
                <wp:positionH relativeFrom="page">
                  <wp:posOffset>0</wp:posOffset>
                </wp:positionH>
                <wp:positionV relativeFrom="line">
                  <wp:posOffset>635</wp:posOffset>
                </wp:positionV>
                <wp:extent cx="6480175" cy="175260"/>
                <wp:effectExtent l="0" t="0" r="0" b="0"/>
                <wp:wrapNone/>
                <wp:docPr id="337" name="Frame3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104" w:name="_97c0aef8_92e5_407b_8163_bd2b38d12ec2"/>
      <w:bookmarkEnd w:id="1104"/>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604" w:type="dxa"/>
        <w:jc w:val="left"/>
        <w:tblInd w:w="0" w:type="dxa"/>
        <w:tblLayout w:type="fixed"/>
        <w:tblCellMar>
          <w:top w:w="0" w:type="dxa"/>
          <w:left w:w="0" w:type="dxa"/>
          <w:bottom w:w="0" w:type="dxa"/>
          <w:right w:w="0" w:type="dxa"/>
        </w:tblCellMar>
      </w:tblPr>
      <w:tblGrid>
        <w:gridCol w:w="556"/>
        <w:gridCol w:w="1141"/>
        <w:gridCol w:w="346"/>
        <w:gridCol w:w="456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353060" cy="175260"/>
                      <wp:effectExtent l="0" t="0" r="0" b="0"/>
                      <wp:wrapNone/>
                      <wp:docPr id="338" name="Frame338"/>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724535" cy="175260"/>
                      <wp:effectExtent l="0" t="0" r="0" b="0"/>
                      <wp:wrapNone/>
                      <wp:docPr id="339" name="Frame33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40"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896235" cy="175260"/>
                      <wp:effectExtent l="0" t="0" r="0" b="0"/>
                      <wp:wrapNone/>
                      <wp:docPr id="341" name="Frame341"/>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  ​ ​ ​</w:t>
            </w:r>
          </w:p>
        </w:tc>
        <w:tc>
          <w:tcPr>
            <w:tcW w:w="45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VALHI, INC.</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45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456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456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456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7, 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5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Allbach Samford</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45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Allbach Samford</w:t>
              <w:br/>
              <w:t>(Executive Vice President and Chief Financial Officer)</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456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456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456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7, 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5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Edward R. Moore</w:t>
            </w:r>
          </w:p>
        </w:tc>
      </w:tr>
      <w:tr>
        <w:trPr/>
        <w:tc>
          <w:tcPr>
            <w:tcW w:w="556" w:type="dxa"/>
            <w:tcBorders/>
            <w:vAlign w:val="center"/>
          </w:tcPr>
          <w:p>
            <w:pPr>
              <w:pStyle w:val="TableContents"/>
              <w:bidi w:val="0"/>
              <w:spacing w:before="0" w:after="0"/>
              <w:ind w:left="0" w:right="0" w:hanging="0"/>
              <w:jc w:val="left"/>
              <w:rPr/>
            </w:pPr>
            <w:r>
              <w:rPr/>
              <w:t>​</w:t>
            </w:r>
          </w:p>
        </w:tc>
        <w:tc>
          <w:tcPr>
            <w:tcW w:w="114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45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Edward R. Moore</w:t>
              <w:br/>
              <w:t>(Vice President and Controller)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0"/>
        <w:ind w:left="0" w:right="0" w:hanging="0"/>
        <w:jc w:val="right"/>
        <w:rPr>
          <w:rFonts w:ascii="Times New Roman;Times;serif" w:hAnsi="Times New Roman;Times;serif"/>
          <w:b/>
          <w:sz w:val="20"/>
        </w:rPr>
      </w:pPr>
      <w:bookmarkStart w:id="1105" w:name="vhl-20260331xex31d1.htm"/>
      <w:bookmarkStart w:id="1106" w:name="ksvhl20260331xex31d1"/>
      <w:bookmarkEnd w:id="1105"/>
      <w:bookmarkEnd w:id="1106"/>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pBdr/>
        <w:bidi w:val="0"/>
        <w:spacing w:before="0" w:after="200"/>
        <w:ind w:left="0" w:right="0" w:hanging="360"/>
        <w:jc w:val="both"/>
        <w:rPr>
          <w:rFonts w:ascii="Times New Roman;Times;serif" w:hAnsi="Times New Roman;Times;serif"/>
          <w:sz w:val="20"/>
        </w:rPr>
      </w:pPr>
      <w:r>
        <w:rPr>
          <w:rFonts w:ascii="Times New Roman;Times;serif" w:hAnsi="Times New Roman;Times;serif"/>
          <w:sz w:val="20"/>
        </w:rPr>
        <w:t>I, Michael S. Simmons, certify that:</w:t>
      </w:r>
    </w:p>
    <w:tbl>
      <w:tblPr>
        <w:tblW w:w="5560" w:type="dxa"/>
        <w:jc w:val="left"/>
        <w:tblInd w:w="0" w:type="dxa"/>
        <w:tblLayout w:type="fixed"/>
        <w:tblCellMar>
          <w:top w:w="0" w:type="dxa"/>
          <w:left w:w="0" w:type="dxa"/>
          <w:bottom w:w="0" w:type="dxa"/>
          <w:right w:w="0" w:type="dxa"/>
        </w:tblCellMar>
      </w:tblPr>
      <w:tblGrid>
        <w:gridCol w:w="185"/>
        <w:gridCol w:w="5375"/>
      </w:tblGrid>
      <w:tr>
        <w:trPr/>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3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Valhi, Inc.;</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500" w:right="0" w:hanging="340"/>
        <w:jc w:val="both"/>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pBdr/>
        <w:bidi w:val="0"/>
        <w:spacing w:before="0" w:after="0"/>
        <w:ind w:left="500" w:right="0" w:hanging="340"/>
        <w:jc w:val="both"/>
        <w:rPr/>
      </w:pPr>
      <w:r>
        <w:rPr/>
        <w:t>​</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tc>
      </w:tr>
    </w:tbl>
    <w:p>
      <w:pPr>
        <w:pStyle w:val="TextBody"/>
        <w:pBdr/>
        <w:bidi w:val="0"/>
        <w:spacing w:before="0" w:after="0"/>
        <w:ind w:left="500" w:right="0" w:hanging="34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504" w:right="0" w:hanging="346"/>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690" w:type="dxa"/>
        <w:jc w:val="center"/>
        <w:tblInd w:w="0" w:type="dxa"/>
        <w:tblLayout w:type="fixed"/>
        <w:tblCellMar>
          <w:top w:w="0" w:type="dxa"/>
          <w:left w:w="0" w:type="dxa"/>
          <w:bottom w:w="0" w:type="dxa"/>
          <w:right w:w="0" w:type="dxa"/>
        </w:tblCellMar>
      </w:tblPr>
      <w:tblGrid>
        <w:gridCol w:w="5536"/>
        <w:gridCol w:w="154"/>
      </w:tblGrid>
      <w:tr>
        <w:trPr/>
        <w:tc>
          <w:tcPr>
            <w:tcW w:w="553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5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S. Simmons</w:t>
            </w:r>
          </w:p>
        </w:tc>
        <w:tc>
          <w:tcPr>
            <w:tcW w:w="154" w:type="dxa"/>
            <w:tcBorders/>
            <w:vAlign w:val="center"/>
          </w:tcPr>
          <w:p>
            <w:pPr>
              <w:pStyle w:val="TableContents"/>
              <w:bidi w:val="0"/>
              <w:spacing w:before="0" w:after="0"/>
              <w:ind w:left="0" w:right="0" w:hanging="0"/>
              <w:jc w:val="left"/>
              <w:rPr/>
            </w:pPr>
            <w:r>
              <w:rPr/>
              <w:t>​</w:t>
            </w:r>
          </w:p>
        </w:tc>
      </w:tr>
      <w:tr>
        <w:trPr/>
        <w:tc>
          <w:tcPr>
            <w:tcW w:w="55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S. Simmons</w:t>
            </w:r>
          </w:p>
        </w:tc>
        <w:tc>
          <w:tcPr>
            <w:tcW w:w="154" w:type="dxa"/>
            <w:tcBorders/>
            <w:vAlign w:val="center"/>
          </w:tcPr>
          <w:p>
            <w:pPr>
              <w:pStyle w:val="TableContents"/>
              <w:bidi w:val="0"/>
              <w:spacing w:before="0" w:after="0"/>
              <w:ind w:left="0" w:right="0" w:hanging="0"/>
              <w:jc w:val="lef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107" w:name="vhl-20260331xex31d2.htm"/>
      <w:bookmarkStart w:id="1108" w:name="ksvhl20260331xex31d2"/>
      <w:bookmarkEnd w:id="1107"/>
      <w:bookmarkEnd w:id="1108"/>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Amy A. Samford, certify that:</w:t>
      </w:r>
    </w:p>
    <w:p>
      <w:pPr>
        <w:pStyle w:val="TextBody"/>
        <w:bidi w:val="0"/>
        <w:spacing w:before="0" w:after="0"/>
        <w:ind w:left="0" w:right="0" w:hanging="0"/>
        <w:jc w:val="both"/>
        <w:rPr/>
      </w:pPr>
      <w:r>
        <w:rPr/>
        <w:t>​</w:t>
      </w:r>
    </w:p>
    <w:tbl>
      <w:tblPr>
        <w:tblW w:w="5560" w:type="dxa"/>
        <w:jc w:val="left"/>
        <w:tblInd w:w="0" w:type="dxa"/>
        <w:tblLayout w:type="fixed"/>
        <w:tblCellMar>
          <w:top w:w="0" w:type="dxa"/>
          <w:left w:w="0" w:type="dxa"/>
          <w:bottom w:w="0" w:type="dxa"/>
          <w:right w:w="0" w:type="dxa"/>
        </w:tblCellMar>
      </w:tblPr>
      <w:tblGrid>
        <w:gridCol w:w="185"/>
        <w:gridCol w:w="5375"/>
      </w:tblGrid>
      <w:tr>
        <w:trPr/>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3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Valhi, Inc.;</w:t>
            </w:r>
          </w:p>
        </w:tc>
      </w:tr>
    </w:tbl>
    <w:p>
      <w:pPr>
        <w:pStyle w:val="TextBody"/>
        <w:pBdr/>
        <w:bidi w:val="0"/>
        <w:spacing w:before="0" w:after="0"/>
        <w:ind w:left="40" w:right="0" w:hanging="425"/>
        <w:jc w:val="both"/>
        <w:rPr/>
      </w:pPr>
      <w:r>
        <w:rPr/>
        <w:t>​</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500" w:right="0" w:hanging="340"/>
        <w:jc w:val="both"/>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pBdr/>
        <w:bidi w:val="0"/>
        <w:spacing w:before="0" w:after="0"/>
        <w:ind w:left="40" w:right="0" w:hanging="425"/>
        <w:jc w:val="both"/>
        <w:rPr/>
      </w:pPr>
      <w:r>
        <w:rPr/>
        <w:t>​</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tc>
      </w:tr>
    </w:tbl>
    <w:p>
      <w:pPr>
        <w:pStyle w:val="TextBody"/>
        <w:pBdr/>
        <w:bidi w:val="0"/>
        <w:spacing w:before="0" w:after="0"/>
        <w:ind w:left="500" w:right="0" w:hanging="34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504" w:right="0" w:hanging="346"/>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610" w:type="dxa"/>
        <w:jc w:val="center"/>
        <w:tblInd w:w="0" w:type="dxa"/>
        <w:tblLayout w:type="fixed"/>
        <w:tblCellMar>
          <w:top w:w="0" w:type="dxa"/>
          <w:left w:w="0" w:type="dxa"/>
          <w:bottom w:w="0" w:type="dxa"/>
          <w:right w:w="0" w:type="dxa"/>
        </w:tblCellMar>
      </w:tblPr>
      <w:tblGrid>
        <w:gridCol w:w="4456"/>
        <w:gridCol w:w="154"/>
      </w:tblGrid>
      <w:tr>
        <w:trPr/>
        <w:tc>
          <w:tcPr>
            <w:tcW w:w="44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/s/Amy A. Samford</w:t>
            </w:r>
          </w:p>
        </w:tc>
        <w:tc>
          <w:tcPr>
            <w:tcW w:w="154" w:type="dxa"/>
            <w:tcBorders/>
            <w:vAlign w:val="center"/>
          </w:tcPr>
          <w:p>
            <w:pPr>
              <w:pStyle w:val="TableContents"/>
              <w:bidi w:val="0"/>
              <w:spacing w:before="0" w:after="0"/>
              <w:ind w:left="0" w:right="0" w:hanging="0"/>
              <w:jc w:val="left"/>
              <w:rPr/>
            </w:pPr>
            <w:r>
              <w:rPr/>
              <w:t>​</w:t>
            </w:r>
          </w:p>
        </w:tc>
      </w:tr>
      <w:tr>
        <w:trPr/>
        <w:tc>
          <w:tcPr>
            <w:tcW w:w="44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Executive Vice President and Chief Financial Officer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109" w:name="vhl-20260331xex32d1.htm"/>
      <w:bookmarkStart w:id="1110" w:name="ksvhl20260331xex32d1"/>
      <w:bookmarkEnd w:id="1109"/>
      <w:bookmarkEnd w:id="1110"/>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Valhi, Inc. (the “Company”) on Form 10-Q for the quarter ended March 31, 2026 as filed with the Securities and Exchange Commission on the date hereof (the “Report”), we, Michael S. Simmons, Vice Chairman of the Board, President and Chief Executive Officer, and Amy A. Samford, Executive Vice President and Chief Financial Officer of the Company, certify, pursuant to 18 U.S.C. Section 1350, as adopted pursuant to Section 906 of the Sarbanes-Oxley Act of 2002, that:</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 of operations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448" w:type="dxa"/>
        <w:jc w:val="left"/>
        <w:tblInd w:w="0" w:type="dxa"/>
        <w:tblLayout w:type="fixed"/>
        <w:tblCellMar>
          <w:top w:w="0" w:type="dxa"/>
          <w:left w:w="0" w:type="dxa"/>
          <w:bottom w:w="28" w:type="dxa"/>
          <w:right w:w="0" w:type="dxa"/>
        </w:tblCellMar>
      </w:tblPr>
      <w:tblGrid>
        <w:gridCol w:w="3616"/>
        <w:gridCol w:w="346"/>
        <w:gridCol w:w="4486"/>
      </w:tblGrid>
      <w:tr>
        <w:trPr/>
        <w:tc>
          <w:tcPr>
            <w:tcW w:w="361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S. Simmons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44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rPr/>
        <w:tc>
          <w:tcPr>
            <w:tcW w:w="361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S. Simmons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Vice Chairman of the Board, President and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7, 2026</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48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Executive Vice President and Chief Financial Officer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7, 2026</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57640/000110465926056246/kro-20260331xex10d1.htm" TargetMode="External"/><Relationship Id="rId3" Type="http://schemas.openxmlformats.org/officeDocument/2006/relationships/hyperlink" Target="https://www.sec.gov/Archives/edgar/data/1257640/000110465926056246/kro-20260331xex10d1.htm" TargetMode="External"/><Relationship Id="rId4" Type="http://schemas.openxmlformats.org/officeDocument/2006/relationships/hyperlink" Target="https://www.sec.gov/Archives/edgar/data/1257640/000110465926056246/kro-20260331xex10d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20983</Words>
  <Characters>114892</Characters>
  <CharactersWithSpaces>137705</CharactersWithSpaces>
  <Paragraphs>5524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