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0" w:after="240"/>
        <w:ind w:left="0" w:right="0" w:hanging="0"/>
        <w:jc w:val="center"/>
        <w:rPr/>
      </w:pPr>
      <w:bookmarkStart w:id="0" w:name="vhl-20260521x8k.htm"/>
      <w:bookmarkStart w:id="1" w:name="ksvhl20260521x8k"/>
      <w:bookmarkEnd w:id="0"/>
      <w:bookmarkEnd w:id="1"/>
      <w:r>
        <w:rPr/>
        <w:t>​</w:t>
      </w:r>
    </w:p>
    <w:p>
      <w:pPr>
        <w:pStyle w:val="TextBody"/>
        <w:bidi w:val="0"/>
        <w:spacing w:before="0" w:after="240"/>
        <w:ind w:left="0" w:right="0" w:hanging="0"/>
        <w:jc w:val="center"/>
        <w:rPr/>
      </w:pPr>
      <w:bookmarkStart w:id="2" w:name="_05c46f74_d6de_44b1_8a37_676ab3edbb41"/>
      <w:bookmarkEnd w:id="2"/>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May 21,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VALHI,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lWSx6JIXbEGHKx2JevsZ1Q_1_2"/>
      <w:bookmarkStart w:id="4" w:name="Tc_G8OuKwRwbk-aRUBl1Auusw_1_1"/>
      <w:bookmarkStart w:id="5" w:name="Tc_nGuX9mEQn0uRCGUlKVATMw_1_0"/>
      <w:bookmarkStart w:id="6" w:name="_0defd52f_31bc_45b8_92be_cb63f87bcfcb"/>
      <w:bookmarkStart w:id="7" w:name="Tc_lWSx6JIXbEGHKx2JevsZ1Q_1_2"/>
      <w:bookmarkStart w:id="8" w:name="Tc_G8OuKwRwbk-aRUBl1Auusw_1_1"/>
      <w:bookmarkStart w:id="9" w:name="Tc_nGuX9mEQn0uRCGUlKVATMw_1_0"/>
      <w:bookmarkStart w:id="10" w:name="_0defd52f_31bc_45b8_92be_cb63f87bcfcb"/>
      <w:bookmarkEnd w:id="7"/>
      <w:bookmarkEnd w:id="8"/>
      <w:bookmarkEnd w:id="9"/>
      <w:bookmarkEnd w:id="10"/>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1-5467</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87-0110150</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42q-YtzV4E-ybK8Gc8L-wg_1_1"/>
      <w:bookmarkStart w:id="12" w:name="Tc_LHwpYiZ87USwlXVMyIAgIA_1_0"/>
      <w:bookmarkStart w:id="13" w:name="Tc_ISMUpCK8bkWttEEH7VQxdw_0_0"/>
      <w:bookmarkStart w:id="14" w:name="_8e25643c_b046_4197_888a_ed57a33ca7fb"/>
      <w:bookmarkStart w:id="15" w:name="Tc_42q-YtzV4E-ybK8Gc8L-wg_1_1"/>
      <w:bookmarkStart w:id="16" w:name="Tc_LHwpYiZ87USwlXVMyIAgIA_1_0"/>
      <w:bookmarkStart w:id="17" w:name="Tc_ISMUpCK8bkWttEEH7VQxdw_0_0"/>
      <w:bookmarkStart w:id="18" w:name="_8e25643c_b046_4197_888a_ed57a33ca7fb"/>
      <w:bookmarkEnd w:id="15"/>
      <w:bookmarkEnd w:id="16"/>
      <w:bookmarkEnd w:id="17"/>
      <w:bookmarkEnd w:id="18"/>
    </w:p>
    <w:tbl>
      <w:tblPr>
        <w:tblW w:w="6002" w:type="dxa"/>
        <w:jc w:val="left"/>
        <w:tblInd w:w="0" w:type="dxa"/>
        <w:tblLayout w:type="fixed"/>
        <w:tblCellMar>
          <w:top w:w="0" w:type="dxa"/>
          <w:left w:w="0" w:type="dxa"/>
          <w:bottom w:w="0" w:type="dxa"/>
          <w:right w:w="0" w:type="dxa"/>
        </w:tblCellMar>
      </w:tblPr>
      <w:tblGrid>
        <w:gridCol w:w="4696"/>
        <w:gridCol w:w="1306"/>
      </w:tblGrid>
      <w:tr>
        <w:trPr/>
        <w:tc>
          <w:tcPr>
            <w:tcW w:w="469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233-1700</w:t>
      </w:r>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Normal"/>
        <w:bidi w:val="0"/>
        <w:spacing w:before="0" w:after="0"/>
        <w:jc w:val="left"/>
        <w:rPr>
          <w:sz w:val="4"/>
          <w:szCs w:val="4"/>
        </w:rPr>
      </w:pPr>
      <w:r>
        <w:rPr>
          <w:sz w:val="4"/>
          <w:szCs w:val="4"/>
        </w:rPr>
      </w:r>
      <w:bookmarkStart w:id="19" w:name="Tc_0y0X6peTWUqff7uyKvuJQQ_6_1"/>
      <w:bookmarkStart w:id="20" w:name="Tc_3F7mXXZLOESP1K0Dz7UJIQ_4_1"/>
      <w:bookmarkStart w:id="21" w:name="Tc_3Pwibjme50iDtuA7QhfMhQ_2_1"/>
      <w:bookmarkStart w:id="22" w:name="Tc_oqorhyqYd0q3GfmFM20LVA_0_1"/>
      <w:bookmarkStart w:id="23" w:name="_2c14c44f_969e_43b6_93e6_a27c7879fe9d"/>
      <w:bookmarkStart w:id="24" w:name="Tc_0y0X6peTWUqff7uyKvuJQQ_6_1"/>
      <w:bookmarkStart w:id="25" w:name="Tc_3F7mXXZLOESP1K0Dz7UJIQ_4_1"/>
      <w:bookmarkStart w:id="26" w:name="Tc_3Pwibjme50iDtuA7QhfMhQ_2_1"/>
      <w:bookmarkStart w:id="27" w:name="Tc_oqorhyqYd0q3GfmFM20LVA_0_1"/>
      <w:bookmarkStart w:id="28" w:name="_2c14c44f_969e_43b6_93e6_a27c7879fe9d"/>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9" w:name="Tc_6XfaTuwyIku6GI2qY8bdSQ_0_4"/>
      <w:bookmarkStart w:id="30" w:name="Tc_AeWv-UJwykGXRrXYk2G5UA_0_2"/>
      <w:bookmarkStart w:id="31" w:name="Tc_qLF-q4RRpU-UVbpMdaQl6g_0_0"/>
      <w:bookmarkStart w:id="32" w:name="_5ff3b4e7_5b9b_4fa4_88bb_2c717c569d2b"/>
      <w:bookmarkStart w:id="33" w:name="Tc_6XfaTuwyIku6GI2qY8bdSQ_0_4"/>
      <w:bookmarkStart w:id="34" w:name="Tc_AeWv-UJwykGXRrXYk2G5UA_0_2"/>
      <w:bookmarkStart w:id="35" w:name="Tc_qLF-q4RRpU-UVbpMdaQl6g_0_0"/>
      <w:bookmarkStart w:id="36" w:name="_5ff3b4e7_5b9b_4fa4_88bb_2c717c569d2b"/>
      <w:bookmarkEnd w:id="33"/>
      <w:bookmarkEnd w:id="34"/>
      <w:bookmarkEnd w:id="35"/>
      <w:bookmarkEnd w:id="36"/>
    </w:p>
    <w:tbl>
      <w:tblPr>
        <w:tblW w:w="6230" w:type="dxa"/>
        <w:jc w:val="left"/>
        <w:tblInd w:w="0" w:type="dxa"/>
        <w:tblLayout w:type="fixed"/>
        <w:tblCellMar>
          <w:top w:w="0" w:type="dxa"/>
          <w:left w:w="0" w:type="dxa"/>
          <w:bottom w:w="28" w:type="dxa"/>
          <w:right w:w="0" w:type="dxa"/>
        </w:tblCellMar>
      </w:tblPr>
      <w:tblGrid>
        <w:gridCol w:w="1396"/>
        <w:gridCol w:w="346"/>
        <w:gridCol w:w="826"/>
        <w:gridCol w:w="346"/>
        <w:gridCol w:w="3316"/>
      </w:tblGrid>
      <w:tr>
        <w:trPr/>
        <w:tc>
          <w:tcPr>
            <w:tcW w:w="13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tcMar>
              <w:bottom w:w="0" w:type="dxa"/>
            </w:tcMar>
            <w:vAlign w:val="center"/>
          </w:tcPr>
          <w:p>
            <w:pPr>
              <w:pStyle w:val="TableContents"/>
              <w:bidi w:val="0"/>
              <w:spacing w:before="0" w:after="0"/>
              <w:ind w:left="0" w:right="0" w:hanging="0"/>
              <w:jc w:val="both"/>
              <w:rPr/>
            </w:pPr>
            <w:r>
              <w:rP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tcMar>
              <w:bottom w:w="0" w:type="dxa"/>
            </w:tcMar>
            <w:vAlign w:val="center"/>
          </w:tcPr>
          <w:p>
            <w:pPr>
              <w:pStyle w:val="TableContents"/>
              <w:bidi w:val="0"/>
              <w:spacing w:before="0" w:after="240"/>
              <w:ind w:left="0" w:right="0" w:hanging="0"/>
              <w:jc w:val="both"/>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VHI</w:t>
            </w:r>
          </w:p>
        </w:tc>
        <w:tc>
          <w:tcPr>
            <w:tcW w:w="346" w:type="dxa"/>
            <w:tcBorders/>
            <w:tcMar>
              <w:bottom w:w="0" w:type="dxa"/>
            </w:tcMar>
            <w:vAlign w:val="center"/>
          </w:tcPr>
          <w:p>
            <w:pPr>
              <w:pStyle w:val="TableContents"/>
              <w:bidi w:val="0"/>
              <w:spacing w:before="0" w:after="240"/>
              <w:ind w:left="0" w:right="0" w:hanging="0"/>
              <w:jc w:val="both"/>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60"/>
        <w:ind w:left="0" w:right="0" w:firstLine="72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pBdr>
          <w:top w:val="single" w:sz="2" w:space="1" w:color="000000"/>
          <w:bottom w:val="single" w:sz="18" w:space="1" w:color="000000"/>
        </w:pBdr>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pBdr/>
        <w:bidi w:val="0"/>
        <w:spacing w:before="0" w:after="0"/>
        <w:ind w:left="0" w:right="0" w:hanging="1440"/>
        <w:jc w:val="left"/>
        <w:rPr/>
      </w:pPr>
      <w:r>
        <w:rPr/>
        <w:t>​</w:t>
      </w:r>
    </w:p>
    <w:p>
      <w:pPr>
        <w:pStyle w:val="TextBody"/>
        <w:bidi w:val="0"/>
        <w:spacing w:before="0" w:after="0"/>
        <w:ind w:left="0" w:right="0" w:firstLine="72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7" w:name="_38b0f0b4_b88d_4483_a7ae_b179d3142404"/>
      <w:bookmarkStart w:id="38" w:name="_38b0f0b4_b88d_4483_a7ae_b179d3142404"/>
      <w:bookmarkEnd w:id="38"/>
    </w:p>
    <w:tbl>
      <w:tblPr>
        <w:tblW w:w="10205" w:type="dxa"/>
        <w:jc w:val="left"/>
        <w:tblInd w:w="0" w:type="dxa"/>
        <w:tblLayout w:type="fixed"/>
        <w:tblCellMar>
          <w:top w:w="0" w:type="dxa"/>
          <w:left w:w="0" w:type="dxa"/>
          <w:bottom w:w="0" w:type="dxa"/>
          <w:right w:w="0" w:type="dxa"/>
        </w:tblCellMar>
      </w:tblPr>
      <w:tblGrid>
        <w:gridCol w:w="798"/>
        <w:gridCol w:w="9407"/>
      </w:tblGrid>
      <w:tr>
        <w:trPr/>
        <w:tc>
          <w:tcPr>
            <w:tcW w:w="798"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5.02</w:t>
            </w:r>
          </w:p>
        </w:tc>
        <w:tc>
          <w:tcPr>
            <w:tcW w:w="9407"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Immediately following the registrant’s 2026 annual meeting of stockholders on May 21, 2026, a vacancy existed on the registrant’s board of directors due to the death of W. Hayden McIlroy. (See Item 5.07 of this report.) Later that same day, the registrant’s board of directors appointed Randy L. Hill to fill the vacancy, to serve as a director until his successor is elected and qualified or his earlier resignation, removal or death.  The board of directors also appointed Mr. Hill to serve on its audit committee.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Mr. Hill, age 66, has been a partner at Opportune LLP, a business advisory firm focused on consulting, outsourcing and investment banking, since 2021. Prior to that, Mr. Hill spent over 37 years at KPMG LLP, where he served in roles of increasing responsibility during his lengthy tenure as a partner in KPMG’s audit practice, including serving as audit partner-in-charge in the KPMG Dallas office. Since 2024, he has served on the board of directors, the audit committee and the sustainability committee of Darling Ingredients Inc., a publicly traded company that repurposes and recycles materials from the animal agriculture and food industries.</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9" w:name="_5dcb0001_782c_4c67_9737_548aa3300f8f"/>
      <w:bookmarkStart w:id="40" w:name="_5dcb0001_782c_4c67_9737_548aa3300f8f"/>
      <w:bookmarkEnd w:id="40"/>
    </w:p>
    <w:tbl>
      <w:tblPr>
        <w:tblW w:w="5339" w:type="dxa"/>
        <w:jc w:val="left"/>
        <w:tblInd w:w="0" w:type="dxa"/>
        <w:tblLayout w:type="fixed"/>
        <w:tblCellMar>
          <w:top w:w="0" w:type="dxa"/>
          <w:left w:w="0" w:type="dxa"/>
          <w:bottom w:w="0" w:type="dxa"/>
          <w:right w:w="0" w:type="dxa"/>
        </w:tblCellMar>
      </w:tblPr>
      <w:tblGrid>
        <w:gridCol w:w="898"/>
        <w:gridCol w:w="444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5.07</w:t>
            </w:r>
          </w:p>
        </w:tc>
        <w:tc>
          <w:tcPr>
            <w:tcW w:w="444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Submission of Matters to a Vote of Security Holders.</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pacing w:val="-3"/>
          <w:sz w:val="20"/>
        </w:rPr>
        <w:t xml:space="preserve">The registrant held its 2026 annual meeting of stockholders on May 21, 2026. At the 2026 annual meeting, the registrant’s stockholders voted on the two proposals described in detail in the registrant’s definitive proxy statement on Schedule 14A filed with the U.S. Securities and Exchange Commission on April 1, 2026. Stockholders present at the 2026 annual meeting, either in person or by proxy, represented 95.2% of the </w:t>
      </w:r>
      <w:r>
        <w:rPr>
          <w:rFonts w:ascii="Times New Roman;Times;serif" w:hAnsi="Times New Roman;Times;serif"/>
          <w:sz w:val="20"/>
        </w:rPr>
        <w:t xml:space="preserve">28,302,293 </w:t>
      </w:r>
      <w:r>
        <w:rPr>
          <w:rFonts w:ascii="Times New Roman;Times;serif" w:hAnsi="Times New Roman;Times;serif"/>
          <w:spacing w:val="-3"/>
          <w:sz w:val="20"/>
        </w:rPr>
        <w:t>shares eligible to vote at the meeting.</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smallCaps/>
          <w:spacing w:val="-3"/>
          <w:sz w:val="20"/>
        </w:rPr>
        <w:t>Proposal 1:</w:t>
      </w:r>
      <w:r>
        <w:rPr>
          <w:rFonts w:ascii="Times New Roman;Times;serif" w:hAnsi="Times New Roman;Times;serif"/>
          <w:smallCaps/>
          <w:spacing w:val="-3"/>
          <w:sz w:val="20"/>
        </w:rPr>
        <w:t xml:space="preserve"> Election of Directors</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pacing w:val="-3"/>
          <w:sz w:val="20"/>
        </w:rPr>
        <w:t xml:space="preserve">The registrant’s stockholders elected </w:t>
      </w:r>
      <w:r>
        <w:rPr>
          <w:rFonts w:ascii="Times New Roman;Times;serif" w:hAnsi="Times New Roman;Times;serif"/>
          <w:sz w:val="20"/>
        </w:rPr>
        <w:t xml:space="preserve">Thomas E. Barry, Loretta J. Feehan, Terri L. Herrington, Gina A. Norris, Michael S. Simmons and Mary A. Tidlund </w:t>
      </w:r>
      <w:r>
        <w:rPr>
          <w:rFonts w:ascii="Times New Roman;Times;serif" w:hAnsi="Times New Roman;Times;serif"/>
          <w:spacing w:val="-3"/>
          <w:sz w:val="20"/>
        </w:rPr>
        <w:t>as directors. Each director nominee received votes “For” his or her election from at least 93.6% of the shares eligible to vote at the annual meeting. After the mailing of the registrant’s proxy statement, director nominee W. Hayden McIlroy passed away on April 19, 2026; as a result, he did not stand for election and no votes were cast at the annual meeting for him as a nominee. The resulting vacancy was filled by the registrant’s board on May 21, 2026, as reported in Item 5.02 of this report.</w:t>
      </w:r>
    </w:p>
    <w:p>
      <w:pPr>
        <w:pStyle w:val="TextBody"/>
        <w:bidi w:val="0"/>
        <w:spacing w:before="0" w:after="0"/>
        <w:ind w:left="0" w:right="0" w:firstLine="720"/>
        <w:jc w:val="left"/>
        <w:rPr>
          <w:spacing w:val="-3"/>
        </w:rPr>
      </w:pPr>
      <w:r>
        <w:rPr>
          <w:spacing w:val="-3"/>
        </w:rPr>
        <w:t>​</w:t>
      </w:r>
    </w:p>
    <w:tbl>
      <w:tblPr>
        <w:tblW w:w="8351" w:type="dxa"/>
        <w:jc w:val="left"/>
        <w:tblInd w:w="0" w:type="dxa"/>
        <w:tblLayout w:type="fixed"/>
        <w:tblCellMar>
          <w:top w:w="0" w:type="dxa"/>
          <w:left w:w="0" w:type="dxa"/>
          <w:bottom w:w="0" w:type="dxa"/>
          <w:right w:w="0" w:type="dxa"/>
        </w:tblCellMar>
      </w:tblPr>
      <w:tblGrid>
        <w:gridCol w:w="1165"/>
        <w:gridCol w:w="7186"/>
      </w:tblGrid>
      <w:tr>
        <w:trPr/>
        <w:tc>
          <w:tcPr>
            <w:tcW w:w="1165" w:type="dxa"/>
            <w:tcBorders/>
            <w:vAlign w:val="center"/>
          </w:tcPr>
          <w:p>
            <w:pPr>
              <w:pStyle w:val="TableContents"/>
              <w:bidi w:val="0"/>
              <w:spacing w:before="0" w:after="0"/>
              <w:jc w:val="left"/>
              <w:rPr>
                <w:rFonts w:ascii="Times New Roman;Times;serif" w:hAnsi="Times New Roman;Times;serif"/>
                <w:smallCaps/>
                <w:spacing w:val="-3"/>
                <w:sz w:val="20"/>
              </w:rPr>
            </w:pPr>
            <w:r>
              <w:rPr>
                <w:rFonts w:ascii="Times New Roman;Times;serif" w:hAnsi="Times New Roman;Times;serif"/>
                <w:smallCaps/>
                <w:spacing w:val="-3"/>
                <w:sz w:val="20"/>
              </w:rPr>
              <w:t>Proposal 2:</w:t>
            </w:r>
          </w:p>
        </w:tc>
        <w:tc>
          <w:tcPr>
            <w:tcW w:w="7186" w:type="dxa"/>
            <w:tcBorders/>
            <w:vAlign w:val="center"/>
          </w:tcPr>
          <w:p>
            <w:pPr>
              <w:pStyle w:val="TableContents"/>
              <w:bidi w:val="0"/>
              <w:spacing w:before="0" w:after="0"/>
              <w:jc w:val="left"/>
              <w:rPr>
                <w:rFonts w:ascii="Times New Roman;Times;serif" w:hAnsi="Times New Roman;Times;serif"/>
                <w:smallCaps/>
                <w:sz w:val="20"/>
              </w:rPr>
            </w:pPr>
            <w:r>
              <w:rPr>
                <w:rFonts w:ascii="Times New Roman;Times;serif" w:hAnsi="Times New Roman;Times;serif"/>
                <w:smallCaps/>
                <w:sz w:val="20"/>
              </w:rPr>
              <w:t>Say-on-Pay, Nonbinding Advisory Vote Approving Executive Compensation</w:t>
            </w:r>
          </w:p>
        </w:tc>
      </w:tr>
    </w:tbl>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pacing w:val="-3"/>
          <w:sz w:val="20"/>
        </w:rPr>
        <w:t xml:space="preserve">The registrant’s stockholders adopted </w:t>
      </w:r>
      <w:r>
        <w:rPr>
          <w:rFonts w:ascii="Times New Roman;Times;serif" w:hAnsi="Times New Roman;Times;serif"/>
          <w:sz w:val="20"/>
        </w:rPr>
        <w:t xml:space="preserve">a resolution, on a nonbinding advisory basis, approving the compensation of the registrant’s named executive officers as described in the registrant’s 2026 proxy statement. The resolution received the approval from 93.9% of the shares eligible to vote at the annual meeting. </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rFonts w:ascii="Times New Roman;Times;serif" w:hAnsi="Times New Roman;Times;serif"/>
          <w:b/>
          <w:sz w:val="20"/>
        </w:rPr>
      </w:pPr>
      <w:bookmarkStart w:id="41" w:name="_1e51e328_b945_4c4a_a239_5b598c12d892"/>
      <w:bookmarkEnd w:id="41"/>
      <w:r>
        <w:rPr>
          <w:rFonts w:ascii="Times New Roman;Times;serif" w:hAnsi="Times New Roman;Times;serif"/>
          <w:b/>
          <w:sz w:val="20"/>
        </w:rPr>
        <w:t>Item 7.01 Regulation FD Disclosure:</w:t>
      </w:r>
    </w:p>
    <w:p>
      <w:pPr>
        <w:pStyle w:val="TextBody"/>
        <w:bidi w:val="0"/>
        <w:spacing w:before="0" w:after="0"/>
        <w:ind w:left="0" w:right="0" w:firstLine="720"/>
        <w:jc w:val="both"/>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pacing w:val="-3"/>
          <w:sz w:val="20"/>
        </w:rPr>
        <w:t xml:space="preserve">The registrant hereby furnishes the information set forth in its press release issued on May 21, 2026, a copy of which is attached as Exhibit 99.1 and incorporated herein by reference. </w:t>
      </w:r>
      <w:r>
        <w:rPr>
          <w:rFonts w:ascii="Times New Roman;Times;serif" w:hAnsi="Times New Roman;Times;serif"/>
          <w:sz w:val="20"/>
        </w:rPr>
        <w:t>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bidi w:val="0"/>
        <w:spacing w:before="0" w:after="240"/>
        <w:ind w:left="0" w:right="0" w:hanging="0"/>
        <w:jc w:val="left"/>
        <w:rPr>
          <w:rFonts w:ascii="Times New Roman;Times;serif" w:hAnsi="Times New Roman;Times;serif"/>
          <w:b/>
          <w:sz w:val="20"/>
        </w:rPr>
      </w:pPr>
      <w:bookmarkStart w:id="42" w:name="_c2118345_1c72_4a58_8a21_6852512c7646"/>
      <w:bookmarkEnd w:id="42"/>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11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p>
      <w:pPr>
        <w:pStyle w:val="TextBody"/>
        <w:bidi w:val="0"/>
        <w:spacing w:before="0" w:after="0"/>
        <w:ind w:left="0" w:right="0" w:hanging="0"/>
        <w:jc w:val="left"/>
        <w:rPr/>
      </w:pPr>
      <w:r>
        <w:rPr/>
        <w:t>​</w:t>
      </w:r>
    </w:p>
    <w:tbl>
      <w:tblPr>
        <w:tblW w:w="10038" w:type="dxa"/>
        <w:jc w:val="left"/>
        <w:tblInd w:w="0" w:type="dxa"/>
        <w:tblLayout w:type="fixed"/>
        <w:tblCellMar>
          <w:top w:w="0" w:type="dxa"/>
          <w:left w:w="0" w:type="dxa"/>
          <w:bottom w:w="0" w:type="dxa"/>
          <w:right w:w="0" w:type="dxa"/>
        </w:tblCellMar>
      </w:tblPr>
      <w:tblGrid>
        <w:gridCol w:w="841"/>
        <w:gridCol w:w="346"/>
        <w:gridCol w:w="8851"/>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34035" cy="29210"/>
                      <wp:effectExtent l="0" t="0" r="0" b="0"/>
                      <wp:wrapNone/>
                      <wp:docPr id="1" name="Frame1"/>
                      <a:graphic xmlns:a="http://schemas.openxmlformats.org/drawingml/2006/main">
                        <a:graphicData uri="http://schemas.microsoft.com/office/word/2010/wordprocessingShape">
                          <wps:wsp>
                            <wps:cNvSpPr txBox="1"/>
                            <wps:spPr>
                              <a:xfrm>
                                <a:off x="0" y="0"/>
                                <a:ext cx="534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20385" cy="29210"/>
                      <wp:effectExtent l="0" t="0" r="0" b="0"/>
                      <wp:wrapNone/>
                      <wp:docPr id="3" name="Frame3"/>
                      <a:graphic xmlns:a="http://schemas.openxmlformats.org/drawingml/2006/main">
                        <a:graphicData uri="http://schemas.microsoft.com/office/word/2010/wordprocessingShape">
                          <wps:wsp>
                            <wps:cNvSpPr txBox="1"/>
                            <wps:spPr>
                              <a:xfrm>
                                <a:off x="0" y="0"/>
                                <a:ext cx="5620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Item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8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8851" w:type="dxa"/>
            <w:tcBorders/>
            <w:vAlign w:val="center"/>
          </w:tcPr>
          <w:p>
            <w:pPr>
              <w:pStyle w:val="TableContents"/>
              <w:bidi w:val="0"/>
              <w:spacing w:before="0" w:after="0"/>
              <w:ind w:left="0" w:right="0" w:hanging="0"/>
              <w:jc w:val="left"/>
              <w:rPr/>
            </w:pPr>
            <w:hyperlink w:anchor="vhl-20260521xex99d1.htm">
              <w:r>
                <w:rPr>
                  <w:rStyle w:val="InternetLink"/>
                  <w:rFonts w:ascii="Times New Roman;Times;serif" w:hAnsi="Times New Roman;Times;serif"/>
                  <w:b w:val="false"/>
                  <w:i w:val="false"/>
                  <w:caps w:val="false"/>
                  <w:smallCaps w:val="false"/>
                  <w:sz w:val="20"/>
                </w:rPr>
                <w:t>Press release dated May 21, 2026 entitled “Valhi Declares Quarterly Dividend” and issued by the registrant</w:t>
              </w:r>
            </w:hyperlink>
            <w:r>
              <w:rPr>
                <w:rFonts w:ascii="Times New Roman;Times;serif" w:hAnsi="Times New Roman;Times;serif"/>
                <w:sz w:val="20"/>
              </w:rPr>
              <w:t>.</w:t>
            </w:r>
          </w:p>
        </w:tc>
      </w:tr>
      <w:tr>
        <w:trPr/>
        <w:tc>
          <w:tcPr>
            <w:tcW w:w="841"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5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3"/>
          <w:sz w:val="20"/>
        </w:rPr>
      </w:pPr>
      <w:bookmarkStart w:id="43" w:name="_091d3cec_d227_4100_a122_20192493a12c"/>
      <w:bookmarkEnd w:id="43"/>
      <w:r>
        <w:rPr>
          <w:rFonts w:ascii="Times New Roman;Times;serif" w:hAnsi="Times New Roman;Times;serif"/>
          <w:b/>
          <w:spacing w:val="-3"/>
          <w:sz w:val="20"/>
        </w:rPr>
        <w:t>SIGNATURE</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spacing w:val="-3"/>
        </w:rPr>
      </w:pPr>
      <w:r>
        <w:rPr>
          <w:spacing w:val="-3"/>
        </w:rPr>
        <w:t>​</w:t>
      </w:r>
    </w:p>
    <w:tbl>
      <w:tblPr>
        <w:tblW w:w="4584" w:type="dxa"/>
        <w:jc w:val="left"/>
        <w:tblInd w:w="0" w:type="dxa"/>
        <w:tblLayout w:type="fixed"/>
        <w:tblCellMar>
          <w:top w:w="0" w:type="dxa"/>
          <w:left w:w="0" w:type="dxa"/>
          <w:bottom w:w="0" w:type="dxa"/>
          <w:right w:w="0" w:type="dxa"/>
        </w:tblCellMar>
      </w:tblPr>
      <w:tblGrid>
        <w:gridCol w:w="1708"/>
        <w:gridCol w:w="403"/>
        <w:gridCol w:w="2473"/>
      </w:tblGrid>
      <w:tr>
        <w:trPr/>
        <w:tc>
          <w:tcPr>
            <w:tcW w:w="17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3</w:t>
            </w:r>
          </w:p>
        </w:tc>
        <w:tc>
          <w:tcPr>
            <w:tcW w:w="2876"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708" w:type="dxa"/>
            <w:tcBorders/>
            <w:vAlign w:val="center"/>
          </w:tcPr>
          <w:p>
            <w:pPr>
              <w:pStyle w:val="TableContents"/>
              <w:bidi w:val="0"/>
              <w:spacing w:before="0" w:after="0"/>
              <w:ind w:left="0" w:right="0" w:hanging="0"/>
              <w:jc w:val="left"/>
              <w:rPr>
                <w:smallCaps/>
                <w:spacing w:val="-3"/>
              </w:rPr>
            </w:pPr>
            <w:r>
              <w:rPr>
                <w:smallCaps/>
                <w:spacing w:val="-3"/>
              </w:rPr>
              <w:t>​</w:t>
            </w:r>
          </w:p>
        </w:tc>
        <w:tc>
          <w:tcPr>
            <w:tcW w:w="2876" w:type="dxa"/>
            <w:gridSpan w:val="2"/>
            <w:tcBorders/>
            <w:vAlign w:val="center"/>
          </w:tcPr>
          <w:p>
            <w:pPr>
              <w:pStyle w:val="TableContents"/>
              <w:bidi w:val="0"/>
              <w:spacing w:before="0" w:after="0"/>
              <w:ind w:left="0" w:right="0" w:hanging="0"/>
              <w:jc w:val="left"/>
              <w:rPr>
                <w:rFonts w:ascii="Times New Roman Bold" w:hAnsi="Times New Roman Bold"/>
                <w:b/>
                <w:smallCaps/>
                <w:spacing w:val="-3"/>
                <w:sz w:val="20"/>
              </w:rPr>
            </w:pPr>
            <w:r>
              <w:rPr>
                <w:rFonts w:ascii="Times New Roman Bold" w:hAnsi="Times New Roman Bold"/>
                <w:b/>
                <w:smallCaps/>
                <w:spacing w:val="-3"/>
                <w:sz w:val="20"/>
              </w:rPr>
              <w:t>Valhi, Inc.</w:t>
            </w:r>
          </w:p>
        </w:tc>
      </w:tr>
      <w:tr>
        <w:trPr/>
        <w:tc>
          <w:tcPr>
            <w:tcW w:w="1708" w:type="dxa"/>
            <w:tcBorders/>
            <w:vAlign w:val="center"/>
          </w:tcPr>
          <w:p>
            <w:pPr>
              <w:pStyle w:val="TableContents"/>
              <w:bidi w:val="0"/>
              <w:spacing w:before="0" w:after="0"/>
              <w:ind w:left="0" w:right="0" w:hanging="0"/>
              <w:jc w:val="left"/>
              <w:rPr>
                <w:spacing w:val="-3"/>
              </w:rPr>
            </w:pPr>
            <w:r>
              <w:rPr>
                <w:spacing w:val="-3"/>
              </w:rPr>
              <w:t>​</w:t>
            </w:r>
          </w:p>
        </w:tc>
        <w:tc>
          <w:tcPr>
            <w:tcW w:w="2876" w:type="dxa"/>
            <w:gridSpan w:val="2"/>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(Registrant)</w:t>
            </w:r>
          </w:p>
        </w:tc>
      </w:tr>
      <w:tr>
        <w:trPr/>
        <w:tc>
          <w:tcPr>
            <w:tcW w:w="1708" w:type="dxa"/>
            <w:tcBorders/>
            <w:vAlign w:val="center"/>
          </w:tcPr>
          <w:p>
            <w:pPr>
              <w:pStyle w:val="TableContents"/>
              <w:bidi w:val="0"/>
              <w:spacing w:before="0" w:after="0"/>
              <w:ind w:left="0" w:right="0" w:hanging="0"/>
              <w:jc w:val="left"/>
              <w:rPr>
                <w:spacing w:val="-3"/>
              </w:rPr>
            </w:pPr>
            <w:r>
              <w:rPr>
                <w:spacing w:val="-3"/>
              </w:rPr>
              <w:t>​</w:t>
            </w:r>
          </w:p>
        </w:tc>
        <w:tc>
          <w:tcPr>
            <w:tcW w:w="2876" w:type="dxa"/>
            <w:gridSpan w:val="2"/>
            <w:tcBorders/>
            <w:vAlign w:val="center"/>
          </w:tcPr>
          <w:p>
            <w:pPr>
              <w:pStyle w:val="TableContents"/>
              <w:bidi w:val="0"/>
              <w:spacing w:before="0" w:after="0"/>
              <w:ind w:left="0" w:right="0" w:hanging="0"/>
              <w:jc w:val="left"/>
              <w:rPr>
                <w:spacing w:val="-3"/>
              </w:rPr>
            </w:pPr>
            <w:r>
              <w:rPr>
                <w:spacing w:val="-3"/>
              </w:rPr>
              <w:t>​</w:t>
            </w:r>
          </w:p>
        </w:tc>
      </w:tr>
      <w:tr>
        <w:trPr/>
        <w:tc>
          <w:tcPr>
            <w:tcW w:w="1708" w:type="dxa"/>
            <w:tcBorders/>
            <w:vAlign w:val="center"/>
          </w:tcPr>
          <w:p>
            <w:pPr>
              <w:pStyle w:val="TableContents"/>
              <w:bidi w:val="0"/>
              <w:spacing w:before="0" w:after="0"/>
              <w:ind w:left="0" w:right="0" w:hanging="0"/>
              <w:jc w:val="left"/>
              <w:rPr>
                <w:spacing w:val="-3"/>
              </w:rPr>
            </w:pPr>
            <w:r>
              <w:rPr>
                <w:spacing w:val="-3"/>
              </w:rPr>
              <w:t>​</w:t>
            </w:r>
          </w:p>
        </w:tc>
        <w:tc>
          <w:tcPr>
            <w:tcW w:w="2876" w:type="dxa"/>
            <w:gridSpan w:val="2"/>
            <w:tcBorders/>
            <w:vAlign w:val="center"/>
          </w:tcPr>
          <w:p>
            <w:pPr>
              <w:pStyle w:val="TableContents"/>
              <w:bidi w:val="0"/>
              <w:spacing w:before="0" w:after="0"/>
              <w:ind w:left="0" w:right="0" w:hanging="0"/>
              <w:jc w:val="left"/>
              <w:rPr>
                <w:spacing w:val="-3"/>
              </w:rPr>
            </w:pPr>
            <w:r>
              <w:rPr>
                <w:spacing w:val="-3"/>
              </w:rPr>
              <w:t>​</w:t>
            </w:r>
          </w:p>
        </w:tc>
      </w:tr>
      <w:tr>
        <w:trPr/>
        <w:tc>
          <w:tcPr>
            <w:tcW w:w="1708" w:type="dxa"/>
            <w:tcBorders/>
            <w:vAlign w:val="center"/>
          </w:tcPr>
          <w:p>
            <w:pPr>
              <w:pStyle w:val="TableContents"/>
              <w:bidi w:val="0"/>
              <w:spacing w:before="0" w:after="0"/>
              <w:ind w:left="0" w:right="0" w:hanging="0"/>
              <w:jc w:val="left"/>
              <w:rPr>
                <w:spacing w:val="-3"/>
              </w:rPr>
            </w:pPr>
            <w:r>
              <w:rPr>
                <w:spacing w:val="-3"/>
              </w:rPr>
              <w:t>​</w:t>
            </w:r>
          </w:p>
        </w:tc>
        <w:tc>
          <w:tcPr>
            <w:tcW w:w="40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By:</w:t>
            </w:r>
          </w:p>
        </w:tc>
        <w:tc>
          <w:tcPr>
            <w:tcW w:w="24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/s/ Amy A. Samford</w:t>
            </w:r>
          </w:p>
        </w:tc>
      </w:tr>
      <w:tr>
        <w:trPr/>
        <w:tc>
          <w:tcPr>
            <w:tcW w:w="17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Date: May 21, 2026</w:t>
            </w:r>
          </w:p>
        </w:tc>
        <w:tc>
          <w:tcPr>
            <w:tcW w:w="403" w:type="dxa"/>
            <w:tcBorders/>
            <w:vAlign w:val="center"/>
          </w:tcPr>
          <w:p>
            <w:pPr>
              <w:pStyle w:val="TableContents"/>
              <w:bidi w:val="0"/>
              <w:spacing w:before="0" w:after="283"/>
              <w:ind w:left="0" w:right="0" w:hanging="0"/>
              <w:jc w:val="left"/>
              <w:rPr>
                <w:sz w:val="4"/>
                <w:szCs w:val="4"/>
              </w:rPr>
            </w:pPr>
            <w:r>
              <w:rPr>
                <w:sz w:val="4"/>
                <w:szCs w:val="4"/>
              </w:rPr>
            </w:r>
          </w:p>
        </w:tc>
        <w:tc>
          <w:tcPr>
            <w:tcW w:w="247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pacing w:val="-3"/>
                <w:sz w:val="20"/>
              </w:rPr>
            </w:pPr>
            <w:r>
              <w:rPr>
                <w:rFonts w:ascii="Times New Roman;Times;serif" w:hAnsi="Times New Roman;Times;serif"/>
                <w:i/>
                <w:spacing w:val="-3"/>
                <w:sz w:val="20"/>
              </w:rPr>
              <w:t>Amy A. Samford</w:t>
              <w:br/>
              <w:t>Executive Vice President and</w:t>
              <w:br/>
              <w:t>Chief Financial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4" w:name="vhl-20260521xex99d1.htm"/>
      <w:bookmarkStart w:id="45" w:name="ksvhl20260521xex99d1"/>
      <w:bookmarkStart w:id="46" w:name="vhl-20260521xex99d1.htm"/>
      <w:bookmarkStart w:id="47" w:name="ksvhl20260521xex99d1"/>
      <w:bookmarkEnd w:id="46"/>
      <w:bookmarkEnd w:id="47"/>
      <w:r>
        <w:br w:type="page"/>
      </w:r>
    </w:p>
    <w:tbl>
      <w:tblPr>
        <w:tblW w:w="2276" w:type="dxa"/>
        <w:jc w:val="left"/>
        <w:tblInd w:w="0" w:type="dxa"/>
        <w:tblLayout w:type="fixed"/>
        <w:tblCellMar>
          <w:top w:w="0" w:type="dxa"/>
          <w:left w:w="0" w:type="dxa"/>
          <w:bottom w:w="0" w:type="dxa"/>
          <w:right w:w="0" w:type="dxa"/>
        </w:tblCellMar>
      </w:tblPr>
      <w:tblGrid>
        <w:gridCol w:w="2276"/>
      </w:tblGrid>
      <w:tr>
        <w:trPr/>
        <w:tc>
          <w:tcPr>
            <w:tcW w:w="2276" w:type="dxa"/>
            <w:tcBorders/>
            <w:vAlign w:val="center"/>
          </w:tcPr>
          <w:p>
            <w:pPr>
              <w:pStyle w:val="TableContents"/>
              <w:bidi w:val="0"/>
              <w:spacing w:before="0" w:after="0"/>
              <w:ind w:left="0" w:right="0" w:hanging="0"/>
              <w:jc w:val="both"/>
              <w:rPr/>
            </w:pPr>
            <w:r>
              <w:rPr/>
              <w:t>​</w:t>
            </w:r>
          </w:p>
        </w:tc>
      </w:tr>
      <w:tr>
        <w:trPr/>
        <w:tc>
          <w:tcPr>
            <w:tcW w:w="2276" w:type="dxa"/>
            <w:tcBorders/>
            <w:vAlign w:val="center"/>
          </w:tcPr>
          <w:p>
            <w:pPr>
              <w:pStyle w:val="TableContents"/>
              <w:bidi w:val="0"/>
              <w:spacing w:before="0" w:after="0"/>
              <w:ind w:left="0" w:right="0" w:hanging="0"/>
              <w:jc w:val="both"/>
              <w:rPr/>
            </w:pPr>
            <w:r>
              <w:rPr/>
              <w:t>​</w:t>
            </w:r>
          </w:p>
        </w:tc>
      </w:tr>
      <w:tr>
        <w:trPr/>
        <w:tc>
          <w:tcPr>
            <w:tcW w:w="2276" w:type="dxa"/>
            <w:tcBorders/>
            <w:vAlign w:val="center"/>
          </w:tcPr>
          <w:p>
            <w:pPr>
              <w:pStyle w:val="TableContents"/>
              <w:bidi w:val="0"/>
              <w:spacing w:before="0" w:after="0"/>
              <w:ind w:left="0" w:right="0" w:hanging="0"/>
              <w:jc w:val="center"/>
              <w:rPr/>
            </w:pPr>
            <w:r>
              <w:rPr/>
              <w:drawing>
                <wp:inline distT="0" distB="0" distL="0" distR="0">
                  <wp:extent cx="1352550" cy="81153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52550" cy="811530"/>
                          </a:xfrm>
                          <a:prstGeom prst="rect">
                            <a:avLst/>
                          </a:prstGeom>
                        </pic:spPr>
                      </pic:pic>
                    </a:graphicData>
                  </a:graphic>
                </wp:inline>
              </w:drawing>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caps/>
          <w:spacing w:val="-2"/>
          <w:sz w:val="24"/>
        </w:rPr>
        <w:t xml:space="preserve">VALHI </w:t>
      </w:r>
      <w:r>
        <w:rPr>
          <w:rFonts w:ascii="Times New Roman;Times;serif" w:hAnsi="Times New Roman;Times;serif"/>
          <w:b/>
          <w:caps/>
          <w:sz w:val="24"/>
        </w:rPr>
        <w:t>ANNOUNCES QUARTERLY CASH DIVIDEND AND</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RESULTS OF ANNUAL STOCKHOLDER MEETING</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pacing w:val="-2"/>
          <w:sz w:val="24"/>
        </w:rPr>
      </w:pPr>
      <w:r>
        <w:rPr>
          <w:rFonts w:ascii="Times New Roman;Times;serif" w:hAnsi="Times New Roman;Times;serif"/>
          <w:spacing w:val="-2"/>
          <w:sz w:val="24"/>
        </w:rPr>
        <w:t>DALLAS, TEXAS . . . May 21, 2026 . . . Valhi, Inc. (NYSE:  VHI) announced today that its board of directors has declared a regular quarterly dividend of eight cents ($0.08) per share on its common stock, payable on June 25, 2026 to stockholders of record at the close of business on June 4,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Valhi also announced that at its annual stockholder meeting held on May 21, 2026, its stockholders: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elected each of Thomas E. Barry, Loretta J. Feehan, Terri L. Herrington, Gina A. Norris, Michael S. Simmons and Mary A. Tidlund as a director for a one-year term;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adopted a resolution that approved, on a nonbinding advisory basis, the compensation of its named executive officers as disclosed in the proxy statement for the 2026 annual stockholder meeting.</w:t>
            </w:r>
          </w:p>
        </w:tc>
      </w:tr>
    </w:tbl>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Following the annual meeting of stockholders, today the Valhi board of directors appointed Randy L. Hill to fill the vacancy on the board resulting from the death of W. Hayden McIlroy on April 19, 2026.  The board of directors also appointed Mr. Hill to serve on its audit committee.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Valhi, Inc. is engaged in the chemicals </w:t>
      </w:r>
      <w:r>
        <w:rPr>
          <w:rFonts w:ascii="Times New Roman;Times;serif" w:hAnsi="Times New Roman;Times;serif"/>
          <w:sz w:val="24"/>
          <w:shd w:fill="FFFFFF" w:val="clear"/>
        </w:rPr>
        <w:t>(TiO</w:t>
      </w:r>
      <w:r>
        <w:rPr>
          <w:rFonts w:ascii="Times New Roman;Times;serif" w:hAnsi="Times New Roman;Times;serif"/>
          <w:sz w:val="18"/>
          <w:shd w:fill="FFFFFF" w:val="clear"/>
        </w:rPr>
        <w:t>2</w:t>
      </w:r>
      <w:r>
        <w:rPr>
          <w:rFonts w:ascii="Times New Roman;Times;serif" w:hAnsi="Times New Roman;Times;serif"/>
          <w:sz w:val="24"/>
          <w:shd w:fill="FFFFFF" w:val="clear"/>
        </w:rPr>
        <w:t>)</w:t>
      </w:r>
      <w:r>
        <w:rPr>
          <w:rFonts w:ascii="Times New Roman;Times;serif" w:hAnsi="Times New Roman;Times;serif"/>
          <w:sz w:val="24"/>
        </w:rPr>
        <w:t>, component products (security products and recreational marine components) and real estate management and development industries.</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1194</Words>
  <Characters>6359</Characters>
  <CharactersWithSpaces>7571</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