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0" w:after="240"/>
        <w:ind w:left="0" w:right="0" w:hanging="0"/>
        <w:jc w:val="center"/>
        <w:rPr/>
      </w:pPr>
      <w:bookmarkStart w:id="0" w:name="vhl-20260305x8k.htm"/>
      <w:bookmarkStart w:id="1" w:name="ksvhl20260305x8k"/>
      <w:bookmarkEnd w:id="0"/>
      <w:bookmarkEnd w:id="1"/>
      <w:r>
        <w:rPr/>
        <w:t>​</w:t>
      </w:r>
    </w:p>
    <w:p>
      <w:pPr>
        <w:pStyle w:val="TextBody"/>
        <w:bidi w:val="0"/>
        <w:spacing w:before="0" w:after="240"/>
        <w:ind w:left="0" w:right="0" w:hanging="0"/>
        <w:jc w:val="center"/>
        <w:rPr/>
      </w:pPr>
      <w:bookmarkStart w:id="2" w:name="_05c46f74_d6de_44b1_8a37_676ab3edbb41"/>
      <w:bookmarkEnd w:id="2"/>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March 5,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VALHI,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3" w:name="Tc_Vs1C0S8Il0iT95DoCW2Psw_1_2"/>
      <w:bookmarkStart w:id="4" w:name="Tc_RyqmMf70OUG5_aj97qbCHQ_1_1"/>
      <w:bookmarkStart w:id="5" w:name="Tc_FIuekup9b0yRVwR0_dCxbA_1_0"/>
      <w:bookmarkStart w:id="6" w:name="_0defd52f_31bc_45b8_92be_cb63f87bcfcb"/>
      <w:bookmarkStart w:id="7" w:name="Tc_Vs1C0S8Il0iT95DoCW2Psw_1_2"/>
      <w:bookmarkStart w:id="8" w:name="Tc_RyqmMf70OUG5_aj97qbCHQ_1_1"/>
      <w:bookmarkStart w:id="9" w:name="Tc_FIuekup9b0yRVwR0_dCxbA_1_0"/>
      <w:bookmarkStart w:id="10" w:name="_0defd52f_31bc_45b8_92be_cb63f87bcfcb"/>
      <w:bookmarkEnd w:id="7"/>
      <w:bookmarkEnd w:id="8"/>
      <w:bookmarkEnd w:id="9"/>
      <w:bookmarkEnd w:id="10"/>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1-5467</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87-0110150</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b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4hLP2M6kW0Kw_oMZcsTJaw_1_1"/>
      <w:bookmarkStart w:id="12" w:name="Tc_yf_4DgkqZ0SjJ3_yLvo8lQ_1_0"/>
      <w:bookmarkStart w:id="13" w:name="Tc_IPa0iBj1UUSU5xl_JNeZBA_0_0"/>
      <w:bookmarkStart w:id="14" w:name="_8e25643c_b046_4197_888a_ed57a33ca7fb"/>
      <w:bookmarkStart w:id="15" w:name="Tc_4hLP2M6kW0Kw_oMZcsTJaw_1_1"/>
      <w:bookmarkStart w:id="16" w:name="Tc_yf_4DgkqZ0SjJ3_yLvo8lQ_1_0"/>
      <w:bookmarkStart w:id="17" w:name="Tc_IPa0iBj1UUSU5xl_JNeZBA_0_0"/>
      <w:bookmarkStart w:id="18" w:name="_8e25643c_b046_4197_888a_ed57a33ca7fb"/>
      <w:bookmarkEnd w:id="15"/>
      <w:bookmarkEnd w:id="16"/>
      <w:bookmarkEnd w:id="17"/>
      <w:bookmarkEnd w:id="18"/>
    </w:p>
    <w:tbl>
      <w:tblPr>
        <w:tblW w:w="6002" w:type="dxa"/>
        <w:jc w:val="left"/>
        <w:tblInd w:w="0" w:type="dxa"/>
        <w:tblLayout w:type="fixed"/>
        <w:tblCellMar>
          <w:top w:w="0" w:type="dxa"/>
          <w:left w:w="0" w:type="dxa"/>
          <w:bottom w:w="0" w:type="dxa"/>
          <w:right w:w="0" w:type="dxa"/>
        </w:tblCellMar>
      </w:tblPr>
      <w:tblGrid>
        <w:gridCol w:w="4696"/>
        <w:gridCol w:w="1306"/>
      </w:tblGrid>
      <w:tr>
        <w:trPr/>
        <w:tc>
          <w:tcPr>
            <w:tcW w:w="469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3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233-1700</w:t>
      </w:r>
    </w:p>
    <w:tbl>
      <w:tblPr>
        <w:tblW w:w="5071" w:type="dxa"/>
        <w:jc w:val="left"/>
        <w:tblInd w:w="0" w:type="dxa"/>
        <w:tblLayout w:type="fixed"/>
        <w:tblCellMar>
          <w:top w:w="0" w:type="dxa"/>
          <w:left w:w="0" w:type="dxa"/>
          <w:bottom w:w="0" w:type="dxa"/>
          <w:right w:w="0" w:type="dxa"/>
        </w:tblCellMar>
      </w:tblPr>
      <w:tblGrid>
        <w:gridCol w:w="5071"/>
      </w:tblGrid>
      <w:tr>
        <w:trPr/>
        <w:tc>
          <w:tcPr>
            <w:tcW w:w="50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Normal"/>
        <w:bidi w:val="0"/>
        <w:spacing w:before="0" w:after="0"/>
        <w:jc w:val="left"/>
        <w:rPr>
          <w:sz w:val="4"/>
          <w:szCs w:val="4"/>
        </w:rPr>
      </w:pPr>
      <w:r>
        <w:rPr>
          <w:sz w:val="4"/>
          <w:szCs w:val="4"/>
        </w:rPr>
      </w:r>
      <w:bookmarkStart w:id="19" w:name="Tc_bIbyfFzaA0eIW-M8KuNdKQ_6_1"/>
      <w:bookmarkStart w:id="20" w:name="Tc_9ce54_w_n0-Ps6vleW_XPA_4_1"/>
      <w:bookmarkStart w:id="21" w:name="Tc_tA1jxFxSm06iCtbvnZbxoQ_2_1"/>
      <w:bookmarkStart w:id="22" w:name="Tc_zM8QpG3YYkeyKeM3Y225YQ_0_1"/>
      <w:bookmarkStart w:id="23" w:name="_2c14c44f_969e_43b6_93e6_a27c7879fe9d"/>
      <w:bookmarkStart w:id="24" w:name="Tc_bIbyfFzaA0eIW-M8KuNdKQ_6_1"/>
      <w:bookmarkStart w:id="25" w:name="Tc_9ce54_w_n0-Ps6vleW_XPA_4_1"/>
      <w:bookmarkStart w:id="26" w:name="Tc_tA1jxFxSm06iCtbvnZbxoQ_2_1"/>
      <w:bookmarkStart w:id="27" w:name="Tc_zM8QpG3YYkeyKeM3Y225YQ_0_1"/>
      <w:bookmarkStart w:id="28" w:name="_2c14c44f_969e_43b6_93e6_a27c7879fe9d"/>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9" w:name="Tc_hJUVo7_CQUO6-TB4g1wokg_0_4"/>
      <w:bookmarkStart w:id="30" w:name="Tc_R3UY83EfSUWOWi3sVSFXbA_0_2"/>
      <w:bookmarkStart w:id="31" w:name="Tc_Z4VkEXywf0q96T2us7jHSg_0_0"/>
      <w:bookmarkStart w:id="32" w:name="_5ff3b4e7_5b9b_4fa4_88bb_2c717c569d2b"/>
      <w:bookmarkStart w:id="33" w:name="Tc_hJUVo7_CQUO6-TB4g1wokg_0_4"/>
      <w:bookmarkStart w:id="34" w:name="Tc_R3UY83EfSUWOWi3sVSFXbA_0_2"/>
      <w:bookmarkStart w:id="35" w:name="Tc_Z4VkEXywf0q96T2us7jHSg_0_0"/>
      <w:bookmarkStart w:id="36" w:name="_5ff3b4e7_5b9b_4fa4_88bb_2c717c569d2b"/>
      <w:bookmarkEnd w:id="33"/>
      <w:bookmarkEnd w:id="34"/>
      <w:bookmarkEnd w:id="35"/>
      <w:bookmarkEnd w:id="36"/>
    </w:p>
    <w:tbl>
      <w:tblPr>
        <w:tblW w:w="6230" w:type="dxa"/>
        <w:jc w:val="left"/>
        <w:tblInd w:w="0" w:type="dxa"/>
        <w:tblLayout w:type="fixed"/>
        <w:tblCellMar>
          <w:top w:w="0" w:type="dxa"/>
          <w:left w:w="0" w:type="dxa"/>
          <w:bottom w:w="28" w:type="dxa"/>
          <w:right w:w="0" w:type="dxa"/>
        </w:tblCellMar>
      </w:tblPr>
      <w:tblGrid>
        <w:gridCol w:w="1396"/>
        <w:gridCol w:w="346"/>
        <w:gridCol w:w="826"/>
        <w:gridCol w:w="346"/>
        <w:gridCol w:w="3316"/>
      </w:tblGrid>
      <w:tr>
        <w:trPr/>
        <w:tc>
          <w:tcPr>
            <w:tcW w:w="139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tcMar>
              <w:bottom w:w="0" w:type="dxa"/>
            </w:tcMar>
            <w:vAlign w:val="center"/>
          </w:tcPr>
          <w:p>
            <w:pPr>
              <w:pStyle w:val="TableContents"/>
              <w:bidi w:val="0"/>
              <w:spacing w:before="0" w:after="0"/>
              <w:ind w:left="0" w:right="0" w:hanging="0"/>
              <w:jc w:val="both"/>
              <w:rPr/>
            </w:pPr>
            <w:r>
              <w:rPr/>
              <w:t>  ​ ​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39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tcMar>
              <w:bottom w:w="0" w:type="dxa"/>
            </w:tcMar>
            <w:vAlign w:val="center"/>
          </w:tcPr>
          <w:p>
            <w:pPr>
              <w:pStyle w:val="TableContents"/>
              <w:bidi w:val="0"/>
              <w:spacing w:before="0" w:after="240"/>
              <w:ind w:left="0" w:right="0" w:hanging="0"/>
              <w:jc w:val="both"/>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VHI</w:t>
            </w:r>
          </w:p>
        </w:tc>
        <w:tc>
          <w:tcPr>
            <w:tcW w:w="346" w:type="dxa"/>
            <w:tcBorders/>
            <w:tcMar>
              <w:bottom w:w="0" w:type="dxa"/>
            </w:tcMar>
            <w:vAlign w:val="center"/>
          </w:tcPr>
          <w:p>
            <w:pPr>
              <w:pStyle w:val="TableContents"/>
              <w:bidi w:val="0"/>
              <w:spacing w:before="0" w:after="240"/>
              <w:ind w:left="0" w:right="0" w:hanging="0"/>
              <w:jc w:val="both"/>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60"/>
        <w:ind w:left="0" w:right="0" w:firstLine="72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top w:val="single" w:sz="2" w:space="1" w:color="000000"/>
          <w:bottom w:val="single" w:sz="18" w:space="1" w:color="000000"/>
        </w:pBdr>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bidi w:val="0"/>
        <w:spacing w:before="0" w:after="0"/>
        <w:ind w:left="0" w:right="0" w:hanging="1440"/>
        <w:jc w:val="left"/>
        <w:rPr/>
      </w:pPr>
      <w:r>
        <w:rPr/>
        <w:t>​</w:t>
      </w:r>
    </w:p>
    <w:p>
      <w:pPr>
        <w:pStyle w:val="TextBody"/>
        <w:bidi w:val="0"/>
        <w:spacing w:before="0" w:after="0"/>
        <w:ind w:left="0" w:right="0" w:firstLine="72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Times New Roman;Times;serif" w:hAnsi="Times New Roman;Times;serif"/>
          <w:b/>
          <w:sz w:val="20"/>
        </w:rPr>
      </w:pPr>
      <w:bookmarkStart w:id="37" w:name="_1e51e328_b945_4c4a_a239_5b598c12d892"/>
      <w:bookmarkEnd w:id="37"/>
      <w:r>
        <w:rPr>
          <w:rFonts w:ascii="Times New Roman;Times;serif" w:hAnsi="Times New Roman;Times;serif"/>
          <w:b/>
          <w:sz w:val="20"/>
        </w:rPr>
        <w:t>Item 7.01 Regulation FD Disclosure:</w:t>
      </w:r>
    </w:p>
    <w:p>
      <w:pPr>
        <w:pStyle w:val="TextBody"/>
        <w:bidi w:val="0"/>
        <w:spacing w:before="0" w:after="0"/>
        <w:ind w:left="0" w:right="0" w:firstLine="720"/>
        <w:jc w:val="both"/>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“Valhi Declares </w:t>
      </w:r>
      <w:r>
        <w:rPr>
          <w:rFonts w:ascii="Times New Roman;Times;serif" w:hAnsi="Times New Roman;Times;serif"/>
          <w:sz w:val="20"/>
        </w:rPr>
        <w:t>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March 5, 2026, a copy of which is attached hereto as Exhibit 99.1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TextBody"/>
        <w:bidi w:val="0"/>
        <w:spacing w:before="0" w:after="240"/>
        <w:ind w:left="0" w:right="0" w:hanging="0"/>
        <w:jc w:val="left"/>
        <w:rPr>
          <w:rFonts w:ascii="Times New Roman;Times;serif" w:hAnsi="Times New Roman;Times;serif"/>
          <w:b/>
          <w:sz w:val="20"/>
        </w:rPr>
      </w:pPr>
      <w:bookmarkStart w:id="38" w:name="_c2118345_1c72_4a58_8a21_6852512c7646"/>
      <w:bookmarkEnd w:id="38"/>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before="0" w:after="0"/>
        <w:ind w:left="0" w:right="0" w:hanging="0"/>
        <w:jc w:val="left"/>
        <w:rPr/>
      </w:pPr>
      <w:r>
        <w:rPr/>
        <w:t>​</w:t>
      </w:r>
    </w:p>
    <w:tbl>
      <w:tblPr>
        <w:tblW w:w="10083" w:type="dxa"/>
        <w:jc w:val="left"/>
        <w:tblInd w:w="0" w:type="dxa"/>
        <w:tblLayout w:type="fixed"/>
        <w:tblCellMar>
          <w:top w:w="0" w:type="dxa"/>
          <w:left w:w="0" w:type="dxa"/>
          <w:bottom w:w="0" w:type="dxa"/>
          <w:right w:w="0" w:type="dxa"/>
        </w:tblCellMar>
      </w:tblPr>
      <w:tblGrid>
        <w:gridCol w:w="841"/>
        <w:gridCol w:w="346"/>
        <w:gridCol w:w="8896"/>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34035" cy="29210"/>
                      <wp:effectExtent l="0" t="0" r="0" b="0"/>
                      <wp:wrapNone/>
                      <wp:docPr id="1" name="Frame1"/>
                      <a:graphic xmlns:a="http://schemas.openxmlformats.org/drawingml/2006/main">
                        <a:graphicData uri="http://schemas.microsoft.com/office/word/2010/wordprocessingShape">
                          <wps:wsp>
                            <wps:cNvSpPr txBox="1"/>
                            <wps:spPr>
                              <a:xfrm>
                                <a:off x="0" y="0"/>
                                <a:ext cx="534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648960" cy="29210"/>
                      <wp:effectExtent l="0" t="0" r="0" b="0"/>
                      <wp:wrapNone/>
                      <wp:docPr id="3" name="Frame3"/>
                      <a:graphic xmlns:a="http://schemas.openxmlformats.org/drawingml/2006/main">
                        <a:graphicData uri="http://schemas.microsoft.com/office/word/2010/wordprocessingShape">
                          <wps:wsp>
                            <wps:cNvSpPr txBox="1"/>
                            <wps:spPr>
                              <a:xfrm>
                                <a:off x="0" y="0"/>
                                <a:ext cx="5648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4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89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8896" w:type="dxa"/>
            <w:tcBorders/>
            <w:vAlign w:val="center"/>
          </w:tcPr>
          <w:p>
            <w:pPr>
              <w:pStyle w:val="TableContents"/>
              <w:bidi w:val="0"/>
              <w:spacing w:before="0" w:after="0"/>
              <w:ind w:left="0" w:right="0" w:hanging="0"/>
              <w:jc w:val="left"/>
              <w:rPr/>
            </w:pPr>
            <w:hyperlink w:anchor="vhl-20260305xex99d1.htm">
              <w:r>
                <w:rPr>
                  <w:rStyle w:val="InternetLink"/>
                  <w:rFonts w:ascii="Times New Roman;Times;serif" w:hAnsi="Times New Roman;Times;serif"/>
                  <w:b w:val="false"/>
                  <w:i w:val="false"/>
                  <w:caps w:val="false"/>
                  <w:smallCaps w:val="false"/>
                  <w:sz w:val="20"/>
                </w:rPr>
                <w:t>Press release dated March 5, 2026 entitled “Valhi Declares Quarterly Dividend” and issued by the registrant</w:t>
              </w:r>
            </w:hyperlink>
            <w:r>
              <w:rPr>
                <w:rFonts w:ascii="Times New Roman;Times;serif" w:hAnsi="Times New Roman;Times;serif"/>
                <w:sz w:val="20"/>
              </w:rPr>
              <w:t>.</w:t>
            </w:r>
          </w:p>
        </w:tc>
      </w:tr>
      <w:tr>
        <w:trPr/>
        <w:tc>
          <w:tcPr>
            <w:tcW w:w="841"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96" w:type="dxa"/>
            <w:tcBorders/>
            <w:vAlign w:val="center"/>
          </w:tcPr>
          <w:p>
            <w:pPr>
              <w:pStyle w:val="TableContents"/>
              <w:bidi w:val="0"/>
              <w:spacing w:before="0" w:after="0"/>
              <w:ind w:left="0" w:right="0" w:hanging="0"/>
              <w:jc w:val="left"/>
              <w:rPr/>
            </w:pPr>
            <w:r>
              <w:rPr/>
              <w:t>​</w:t>
            </w:r>
          </w:p>
        </w:tc>
      </w:tr>
      <w:tr>
        <w:trPr/>
        <w:tc>
          <w:tcPr>
            <w:tcW w:w="84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pacing w:val="-3"/>
          <w:sz w:val="20"/>
        </w:rPr>
      </w:pPr>
      <w:bookmarkStart w:id="39" w:name="_091d3cec_d227_4100_a122_20192493a12c"/>
      <w:bookmarkEnd w:id="39"/>
      <w:r>
        <w:rPr>
          <w:rFonts w:ascii="Times New Roman;Times;serif" w:hAnsi="Times New Roman;Times;serif"/>
          <w:b/>
          <w:spacing w:val="-3"/>
          <w:sz w:val="20"/>
        </w:rPr>
        <w:t>SIGNATURE</w:t>
      </w:r>
    </w:p>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spacing w:val="-3"/>
        </w:rPr>
      </w:pPr>
      <w:r>
        <w:rPr>
          <w:spacing w:val="-3"/>
        </w:rPr>
        <w:t>​</w:t>
      </w:r>
    </w:p>
    <w:tbl>
      <w:tblPr>
        <w:tblW w:w="4626" w:type="dxa"/>
        <w:jc w:val="left"/>
        <w:tblInd w:w="0" w:type="dxa"/>
        <w:tblLayout w:type="fixed"/>
        <w:tblCellMar>
          <w:top w:w="0" w:type="dxa"/>
          <w:left w:w="0" w:type="dxa"/>
          <w:bottom w:w="0" w:type="dxa"/>
          <w:right w:w="0" w:type="dxa"/>
        </w:tblCellMar>
      </w:tblPr>
      <w:tblGrid>
        <w:gridCol w:w="1750"/>
        <w:gridCol w:w="403"/>
        <w:gridCol w:w="2473"/>
      </w:tblGrid>
      <w:tr>
        <w:trPr/>
        <w:tc>
          <w:tcPr>
            <w:tcW w:w="1750"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3</w:t>
            </w:r>
          </w:p>
        </w:tc>
        <w:tc>
          <w:tcPr>
            <w:tcW w:w="2876"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750" w:type="dxa"/>
            <w:tcBorders/>
            <w:vAlign w:val="center"/>
          </w:tcPr>
          <w:p>
            <w:pPr>
              <w:pStyle w:val="TableContents"/>
              <w:bidi w:val="0"/>
              <w:spacing w:before="0" w:after="0"/>
              <w:ind w:left="0" w:right="0" w:hanging="0"/>
              <w:jc w:val="left"/>
              <w:rPr>
                <w:smallCaps/>
                <w:spacing w:val="-3"/>
              </w:rPr>
            </w:pPr>
            <w:r>
              <w:rPr>
                <w:smallCaps/>
                <w:spacing w:val="-3"/>
              </w:rPr>
              <w:t>​</w:t>
            </w:r>
          </w:p>
        </w:tc>
        <w:tc>
          <w:tcPr>
            <w:tcW w:w="2876" w:type="dxa"/>
            <w:gridSpan w:val="2"/>
            <w:tcBorders/>
            <w:vAlign w:val="center"/>
          </w:tcPr>
          <w:p>
            <w:pPr>
              <w:pStyle w:val="TableContents"/>
              <w:bidi w:val="0"/>
              <w:spacing w:before="0" w:after="0"/>
              <w:ind w:left="0" w:right="0" w:hanging="0"/>
              <w:jc w:val="left"/>
              <w:rPr>
                <w:rFonts w:ascii="Times New Roman Bold" w:hAnsi="Times New Roman Bold"/>
                <w:b/>
                <w:smallCaps/>
                <w:spacing w:val="-3"/>
                <w:sz w:val="20"/>
              </w:rPr>
            </w:pPr>
            <w:r>
              <w:rPr>
                <w:rFonts w:ascii="Times New Roman Bold" w:hAnsi="Times New Roman Bold"/>
                <w:b/>
                <w:smallCaps/>
                <w:spacing w:val="-3"/>
                <w:sz w:val="20"/>
              </w:rPr>
              <w:t>Valhi, Inc.</w:t>
            </w:r>
          </w:p>
        </w:tc>
      </w:tr>
      <w:tr>
        <w:trPr/>
        <w:tc>
          <w:tcPr>
            <w:tcW w:w="1750" w:type="dxa"/>
            <w:tcBorders/>
            <w:vAlign w:val="center"/>
          </w:tcPr>
          <w:p>
            <w:pPr>
              <w:pStyle w:val="TableContents"/>
              <w:bidi w:val="0"/>
              <w:spacing w:before="0" w:after="0"/>
              <w:ind w:left="0" w:right="0" w:hanging="0"/>
              <w:jc w:val="left"/>
              <w:rPr>
                <w:spacing w:val="-3"/>
              </w:rPr>
            </w:pPr>
            <w:r>
              <w:rPr>
                <w:spacing w:val="-3"/>
              </w:rPr>
              <w:t>​</w:t>
            </w:r>
          </w:p>
        </w:tc>
        <w:tc>
          <w:tcPr>
            <w:tcW w:w="2876" w:type="dxa"/>
            <w:gridSpan w:val="2"/>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(Registrant)</w:t>
            </w:r>
          </w:p>
        </w:tc>
      </w:tr>
      <w:tr>
        <w:trPr/>
        <w:tc>
          <w:tcPr>
            <w:tcW w:w="1750" w:type="dxa"/>
            <w:tcBorders/>
            <w:vAlign w:val="center"/>
          </w:tcPr>
          <w:p>
            <w:pPr>
              <w:pStyle w:val="TableContents"/>
              <w:bidi w:val="0"/>
              <w:spacing w:before="0" w:after="0"/>
              <w:ind w:left="0" w:right="0" w:hanging="0"/>
              <w:jc w:val="left"/>
              <w:rPr>
                <w:spacing w:val="-3"/>
              </w:rPr>
            </w:pPr>
            <w:r>
              <w:rPr>
                <w:spacing w:val="-3"/>
              </w:rPr>
              <w:t>​</w:t>
            </w:r>
          </w:p>
        </w:tc>
        <w:tc>
          <w:tcPr>
            <w:tcW w:w="2876" w:type="dxa"/>
            <w:gridSpan w:val="2"/>
            <w:tcBorders/>
            <w:vAlign w:val="center"/>
          </w:tcPr>
          <w:p>
            <w:pPr>
              <w:pStyle w:val="TableContents"/>
              <w:bidi w:val="0"/>
              <w:spacing w:before="0" w:after="0"/>
              <w:ind w:left="0" w:right="0" w:hanging="0"/>
              <w:jc w:val="left"/>
              <w:rPr>
                <w:spacing w:val="-3"/>
              </w:rPr>
            </w:pPr>
            <w:r>
              <w:rPr>
                <w:spacing w:val="-3"/>
              </w:rPr>
              <w:t>​</w:t>
            </w:r>
          </w:p>
        </w:tc>
      </w:tr>
      <w:tr>
        <w:trPr/>
        <w:tc>
          <w:tcPr>
            <w:tcW w:w="1750" w:type="dxa"/>
            <w:tcBorders/>
            <w:vAlign w:val="center"/>
          </w:tcPr>
          <w:p>
            <w:pPr>
              <w:pStyle w:val="TableContents"/>
              <w:bidi w:val="0"/>
              <w:spacing w:before="0" w:after="0"/>
              <w:ind w:left="0" w:right="0" w:hanging="0"/>
              <w:jc w:val="left"/>
              <w:rPr>
                <w:spacing w:val="-3"/>
              </w:rPr>
            </w:pPr>
            <w:r>
              <w:rPr>
                <w:spacing w:val="-3"/>
              </w:rPr>
              <w:t>​</w:t>
            </w:r>
          </w:p>
        </w:tc>
        <w:tc>
          <w:tcPr>
            <w:tcW w:w="2876" w:type="dxa"/>
            <w:gridSpan w:val="2"/>
            <w:tcBorders/>
            <w:vAlign w:val="center"/>
          </w:tcPr>
          <w:p>
            <w:pPr>
              <w:pStyle w:val="TableContents"/>
              <w:bidi w:val="0"/>
              <w:spacing w:before="0" w:after="0"/>
              <w:ind w:left="0" w:right="0" w:hanging="0"/>
              <w:jc w:val="left"/>
              <w:rPr>
                <w:spacing w:val="-3"/>
              </w:rPr>
            </w:pPr>
            <w:r>
              <w:rPr>
                <w:spacing w:val="-3"/>
              </w:rPr>
              <w:t>​</w:t>
            </w:r>
          </w:p>
        </w:tc>
      </w:tr>
      <w:tr>
        <w:trPr/>
        <w:tc>
          <w:tcPr>
            <w:tcW w:w="1750" w:type="dxa"/>
            <w:tcBorders/>
            <w:vAlign w:val="center"/>
          </w:tcPr>
          <w:p>
            <w:pPr>
              <w:pStyle w:val="TableContents"/>
              <w:bidi w:val="0"/>
              <w:spacing w:before="0" w:after="0"/>
              <w:ind w:left="0" w:right="0" w:hanging="0"/>
              <w:jc w:val="left"/>
              <w:rPr>
                <w:spacing w:val="-3"/>
              </w:rPr>
            </w:pPr>
            <w:r>
              <w:rPr>
                <w:spacing w:val="-3"/>
              </w:rPr>
              <w:t>​</w:t>
            </w:r>
          </w:p>
        </w:tc>
        <w:tc>
          <w:tcPr>
            <w:tcW w:w="403"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By:</w:t>
            </w:r>
          </w:p>
        </w:tc>
        <w:tc>
          <w:tcPr>
            <w:tcW w:w="247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/s/ Amy A. Samford</w:t>
            </w:r>
          </w:p>
        </w:tc>
      </w:tr>
      <w:tr>
        <w:trPr/>
        <w:tc>
          <w:tcPr>
            <w:tcW w:w="1750"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Date: March 5, 2026</w:t>
            </w:r>
          </w:p>
        </w:tc>
        <w:tc>
          <w:tcPr>
            <w:tcW w:w="403" w:type="dxa"/>
            <w:tcBorders/>
            <w:vAlign w:val="center"/>
          </w:tcPr>
          <w:p>
            <w:pPr>
              <w:pStyle w:val="TableContents"/>
              <w:bidi w:val="0"/>
              <w:spacing w:before="0" w:after="283"/>
              <w:ind w:left="0" w:right="0" w:hanging="0"/>
              <w:jc w:val="left"/>
              <w:rPr>
                <w:sz w:val="4"/>
                <w:szCs w:val="4"/>
              </w:rPr>
            </w:pPr>
            <w:r>
              <w:rPr>
                <w:sz w:val="4"/>
                <w:szCs w:val="4"/>
              </w:rPr>
            </w:r>
          </w:p>
        </w:tc>
        <w:tc>
          <w:tcPr>
            <w:tcW w:w="247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pacing w:val="-3"/>
                <w:sz w:val="20"/>
              </w:rPr>
            </w:pPr>
            <w:r>
              <w:rPr>
                <w:rFonts w:ascii="Times New Roman;Times;serif" w:hAnsi="Times New Roman;Times;serif"/>
                <w:i/>
                <w:spacing w:val="-3"/>
                <w:sz w:val="20"/>
              </w:rPr>
              <w:t>Amy A. Samford</w:t>
              <w:br/>
              <w:t>Executive Vice President and</w:t>
              <w:br/>
              <w:t>Chief Financial Officer</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0" w:name="vhl-20260305xex99d1.htm"/>
      <w:bookmarkStart w:id="41" w:name="ksvhl20260305xex99d1"/>
      <w:bookmarkStart w:id="42" w:name="vhl-20260305xex99d1.htm"/>
      <w:bookmarkStart w:id="43" w:name="ksvhl20260305xex99d1"/>
      <w:bookmarkEnd w:id="42"/>
      <w:bookmarkEnd w:id="43"/>
      <w:r>
        <w:br w:type="page"/>
      </w:r>
    </w:p>
    <w:tbl>
      <w:tblPr>
        <w:tblW w:w="2276" w:type="dxa"/>
        <w:jc w:val="left"/>
        <w:tblInd w:w="0" w:type="dxa"/>
        <w:tblLayout w:type="fixed"/>
        <w:tblCellMar>
          <w:top w:w="0" w:type="dxa"/>
          <w:left w:w="0" w:type="dxa"/>
          <w:bottom w:w="0" w:type="dxa"/>
          <w:right w:w="0" w:type="dxa"/>
        </w:tblCellMar>
      </w:tblPr>
      <w:tblGrid>
        <w:gridCol w:w="2276"/>
      </w:tblGrid>
      <w:tr>
        <w:trPr/>
        <w:tc>
          <w:tcPr>
            <w:tcW w:w="2276" w:type="dxa"/>
            <w:tcBorders/>
            <w:vAlign w:val="center"/>
          </w:tcPr>
          <w:p>
            <w:pPr>
              <w:pStyle w:val="TableContents"/>
              <w:bidi w:val="0"/>
              <w:spacing w:before="0" w:after="0"/>
              <w:ind w:left="0" w:right="0" w:hanging="0"/>
              <w:jc w:val="both"/>
              <w:rPr/>
            </w:pPr>
            <w:r>
              <w:rPr/>
              <w:t>​</w:t>
            </w:r>
          </w:p>
        </w:tc>
      </w:tr>
      <w:tr>
        <w:trPr/>
        <w:tc>
          <w:tcPr>
            <w:tcW w:w="2276" w:type="dxa"/>
            <w:tcBorders/>
            <w:vAlign w:val="center"/>
          </w:tcPr>
          <w:p>
            <w:pPr>
              <w:pStyle w:val="TableContents"/>
              <w:bidi w:val="0"/>
              <w:spacing w:before="0" w:after="0"/>
              <w:ind w:left="0" w:right="0" w:hanging="0"/>
              <w:jc w:val="both"/>
              <w:rPr/>
            </w:pPr>
            <w:r>
              <w:rPr/>
              <w:t>​</w:t>
            </w:r>
          </w:p>
        </w:tc>
      </w:tr>
      <w:tr>
        <w:trPr/>
        <w:tc>
          <w:tcPr>
            <w:tcW w:w="2276" w:type="dxa"/>
            <w:tcBorders/>
            <w:vAlign w:val="center"/>
          </w:tcPr>
          <w:p>
            <w:pPr>
              <w:pStyle w:val="TableContents"/>
              <w:bidi w:val="0"/>
              <w:spacing w:before="0" w:after="0"/>
              <w:ind w:left="0" w:right="0" w:hanging="0"/>
              <w:jc w:val="center"/>
              <w:rPr/>
            </w:pPr>
            <w:r>
              <w:rPr/>
              <w:drawing>
                <wp:inline distT="0" distB="0" distL="0" distR="0">
                  <wp:extent cx="1352550" cy="81153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52550" cy="811530"/>
                          </a:xfrm>
                          <a:prstGeom prst="rect">
                            <a:avLst/>
                          </a:prstGeom>
                        </pic:spPr>
                      </pic:pic>
                    </a:graphicData>
                  </a:graphic>
                </wp:inline>
              </w:drawing>
            </w:r>
          </w:p>
        </w:tc>
      </w:tr>
    </w:tbl>
    <w:p>
      <w:pPr>
        <w:pStyle w:val="TextBody"/>
        <w:bidi w:val="0"/>
        <w:spacing w:before="0" w:after="0"/>
        <w:ind w:left="0" w:right="0" w:hanging="0"/>
        <w:jc w:val="both"/>
        <w:rPr/>
      </w:pPr>
      <w:r>
        <w:rPr/>
        <w:t>​</w:t>
      </w:r>
    </w:p>
    <w:p>
      <w:pPr>
        <w:pStyle w:val="TextBody"/>
        <w:bidi w:val="0"/>
        <w:spacing w:before="0" w:after="120"/>
        <w:ind w:left="0" w:right="0" w:hanging="0"/>
        <w:jc w:val="center"/>
        <w:rPr>
          <w:rFonts w:ascii="Times New Roman;Times;serif" w:hAnsi="Times New Roman;Times;serif"/>
          <w:b/>
          <w:spacing w:val="-2"/>
          <w:sz w:val="24"/>
        </w:rPr>
      </w:pPr>
      <w:r>
        <w:rPr>
          <w:rFonts w:ascii="Times New Roman;Times;serif" w:hAnsi="Times New Roman;Times;serif"/>
          <w:b/>
          <w:spacing w:val="-2"/>
          <w:sz w:val="24"/>
        </w:rPr>
        <w:t>VALHI DECLARES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March 5, 2026 . . . Valhi, Inc. (NYSE:  VHI) announced today that its board of directors has declared a regular quarterly dividend of eight cents ($0.08) per share on its common stock, payable on March 31, 2026 to stockholders of record at the close of business on March 16, 2026.</w:t>
      </w:r>
    </w:p>
    <w:p>
      <w:pPr>
        <w:pStyle w:val="TextBody"/>
        <w:bidi w:val="0"/>
        <w:spacing w:before="0" w:after="0"/>
        <w:ind w:left="0" w:right="0" w:hanging="0"/>
        <w:jc w:val="both"/>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Valhi, Inc. is engaged in the chemicals </w:t>
      </w:r>
      <w:r>
        <w:rPr>
          <w:rFonts w:ascii="Times New Roman;Times;serif" w:hAnsi="Times New Roman;Times;serif"/>
          <w:sz w:val="24"/>
          <w:shd w:fill="FFFFFF" w:val="clear"/>
        </w:rPr>
        <w:t>(TiO</w:t>
      </w:r>
      <w:r>
        <w:rPr>
          <w:rFonts w:ascii="Times New Roman;Times;serif" w:hAnsi="Times New Roman;Times;serif"/>
          <w:sz w:val="18"/>
          <w:shd w:fill="FFFFFF" w:val="clear"/>
        </w:rPr>
        <w:t>2</w:t>
      </w:r>
      <w:r>
        <w:rPr>
          <w:rFonts w:ascii="Times New Roman;Times;serif" w:hAnsi="Times New Roman;Times;serif"/>
          <w:sz w:val="24"/>
          <w:shd w:fill="FFFFFF" w:val="clear"/>
        </w:rPr>
        <w:t>)</w:t>
      </w:r>
      <w:r>
        <w:rPr>
          <w:rFonts w:ascii="Times New Roman;Times;serif" w:hAnsi="Times New Roman;Times;serif"/>
          <w:sz w:val="24"/>
        </w:rPr>
        <w:t xml:space="preserve">, component products (security products and recreational marine components) </w:t>
      </w:r>
      <w:r>
        <w:rPr>
          <w:rFonts w:ascii="Times New Roman;Times;serif" w:hAnsi="Times New Roman;Times;serif"/>
          <w:spacing w:val="-2"/>
          <w:sz w:val="24"/>
        </w:rPr>
        <w:t>and real estate management and development industries</w:t>
      </w:r>
      <w:r>
        <w:rPr>
          <w:rFonts w:ascii="Times New Roman;Times;serif" w:hAnsi="Times New Roman;Times;serif"/>
          <w:sz w:val="24"/>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3274</Characters>
  <CharactersWithSpaces>3897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