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18" w:space="1" w:color="000000"/>
          <w:bottom w:val="single" w:sz="2" w:space="1" w:color="000000"/>
        </w:pBdr>
        <w:bidi w:val="0"/>
        <w:spacing w:before="0" w:after="240"/>
        <w:ind w:left="0" w:right="0" w:hanging="0"/>
        <w:jc w:val="center"/>
        <w:rPr/>
      </w:pPr>
      <w:bookmarkStart w:id="0" w:name="vhl-20260806x8k.htm"/>
      <w:bookmarkStart w:id="1" w:name="ksvhl20260806x8k"/>
      <w:bookmarkEnd w:id="0"/>
      <w:bookmarkEnd w:id="1"/>
      <w:r>
        <w:rPr/>
        <w:t>​</w:t>
      </w:r>
    </w:p>
    <w:p>
      <w:pPr>
        <w:pStyle w:val="TextBody"/>
        <w:bidi w:val="0"/>
        <w:spacing w:before="0" w:after="240"/>
        <w:ind w:left="0" w:right="0" w:hanging="0"/>
        <w:jc w:val="center"/>
        <w:rPr/>
      </w:pPr>
      <w:bookmarkStart w:id="2" w:name="_8fd175aa_5fdd_4ab9_a630_63bc2a82a3b6"/>
      <w:bookmarkEnd w:id="2"/>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0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 Securities Exchange Act of 1934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August 6, 2026</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VALHI, INC.</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Normal"/>
        <w:bidi w:val="0"/>
        <w:spacing w:before="0" w:after="0"/>
        <w:jc w:val="left"/>
        <w:rPr>
          <w:sz w:val="4"/>
          <w:szCs w:val="4"/>
        </w:rPr>
      </w:pPr>
      <w:r>
        <w:rPr>
          <w:sz w:val="4"/>
          <w:szCs w:val="4"/>
        </w:rPr>
      </w:r>
      <w:bookmarkStart w:id="3" w:name="Tc_4luByIoWl0aYWtTv1YBAYA_1_2"/>
      <w:bookmarkStart w:id="4" w:name="Tc_0L3JI7sg9ECxdntn-hisrw_1_1"/>
      <w:bookmarkStart w:id="5" w:name="Tc_4dWCwqTM10u6G_l9c-2lKw_1_0"/>
      <w:bookmarkStart w:id="6" w:name="_0defd52f_31bc_45b8_92be_cb63f87bcfcb"/>
      <w:bookmarkStart w:id="7" w:name="Tc_4luByIoWl0aYWtTv1YBAYA_1_2"/>
      <w:bookmarkStart w:id="8" w:name="Tc_0L3JI7sg9ECxdntn-hisrw_1_1"/>
      <w:bookmarkStart w:id="9" w:name="Tc_4dWCwqTM10u6G_l9c-2lKw_1_0"/>
      <w:bookmarkStart w:id="10" w:name="_0defd52f_31bc_45b8_92be_cb63f87bcfcb"/>
      <w:bookmarkEnd w:id="7"/>
      <w:bookmarkEnd w:id="8"/>
      <w:bookmarkEnd w:id="9"/>
      <w:bookmarkEnd w:id="10"/>
    </w:p>
    <w:tbl>
      <w:tblPr>
        <w:tblW w:w="6513" w:type="dxa"/>
        <w:jc w:val="left"/>
        <w:tblInd w:w="0" w:type="dxa"/>
        <w:tblLayout w:type="fixed"/>
        <w:tblCellMar>
          <w:top w:w="0" w:type="dxa"/>
          <w:left w:w="0" w:type="dxa"/>
          <w:bottom w:w="0" w:type="dxa"/>
          <w:right w:w="0" w:type="dxa"/>
        </w:tblCellMar>
      </w:tblPr>
      <w:tblGrid>
        <w:gridCol w:w="3676"/>
        <w:gridCol w:w="1186"/>
        <w:gridCol w:w="1651"/>
      </w:tblGrid>
      <w:tr>
        <w:trPr/>
        <w:tc>
          <w:tcPr>
            <w:tcW w:w="367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Delaware</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1-5467</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87-0110150</w:t>
            </w:r>
          </w:p>
        </w:tc>
      </w:tr>
      <w:tr>
        <w:trPr/>
        <w:tc>
          <w:tcPr>
            <w:tcW w:w="36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br/>
              <w:t>File Number)</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dCHjQ0DR4UyRhpcfSp2-YA_1_1"/>
      <w:bookmarkStart w:id="12" w:name="Tc_iKKuamCyPEGl_6YZFYZ5Aw_1_0"/>
      <w:bookmarkStart w:id="13" w:name="Tc_4S6w8JJLVkKn28-OokoxMw_0_0"/>
      <w:bookmarkStart w:id="14" w:name="_8e25643c_b046_4197_888a_ed57a33ca7fb"/>
      <w:bookmarkStart w:id="15" w:name="Tc_dCHjQ0DR4UyRhpcfSp2-YA_1_1"/>
      <w:bookmarkStart w:id="16" w:name="Tc_iKKuamCyPEGl_6YZFYZ5Aw_1_0"/>
      <w:bookmarkStart w:id="17" w:name="Tc_4S6w8JJLVkKn28-OokoxMw_0_0"/>
      <w:bookmarkStart w:id="18" w:name="_8e25643c_b046_4197_888a_ed57a33ca7fb"/>
      <w:bookmarkEnd w:id="15"/>
      <w:bookmarkEnd w:id="16"/>
      <w:bookmarkEnd w:id="17"/>
      <w:bookmarkEnd w:id="18"/>
    </w:p>
    <w:tbl>
      <w:tblPr>
        <w:tblW w:w="6002" w:type="dxa"/>
        <w:jc w:val="left"/>
        <w:tblInd w:w="0" w:type="dxa"/>
        <w:tblLayout w:type="fixed"/>
        <w:tblCellMar>
          <w:top w:w="0" w:type="dxa"/>
          <w:left w:w="0" w:type="dxa"/>
          <w:bottom w:w="0" w:type="dxa"/>
          <w:right w:w="0" w:type="dxa"/>
        </w:tblCellMar>
      </w:tblPr>
      <w:tblGrid>
        <w:gridCol w:w="4696"/>
        <w:gridCol w:w="1306"/>
      </w:tblGrid>
      <w:tr>
        <w:trPr/>
        <w:tc>
          <w:tcPr>
            <w:tcW w:w="469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5430 LBJ Freeway, Suite 1700, Dallas, Texas</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75240-2620</w:t>
            </w:r>
          </w:p>
        </w:tc>
      </w:tr>
      <w:tr>
        <w:trPr/>
        <w:tc>
          <w:tcPr>
            <w:tcW w:w="46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(972) 233-1700</w:t>
      </w:r>
    </w:p>
    <w:tbl>
      <w:tblPr>
        <w:tblW w:w="5071" w:type="dxa"/>
        <w:jc w:val="left"/>
        <w:tblInd w:w="0" w:type="dxa"/>
        <w:tblLayout w:type="fixed"/>
        <w:tblCellMar>
          <w:top w:w="0" w:type="dxa"/>
          <w:left w:w="0" w:type="dxa"/>
          <w:bottom w:w="0" w:type="dxa"/>
          <w:right w:w="0" w:type="dxa"/>
        </w:tblCellMar>
      </w:tblPr>
      <w:tblGrid>
        <w:gridCol w:w="5071"/>
      </w:tblGrid>
      <w:tr>
        <w:trPr/>
        <w:tc>
          <w:tcPr>
            <w:tcW w:w="50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0"/>
        <w:ind w:left="0" w:right="0" w:hanging="0"/>
        <w:jc w:val="left"/>
        <w:rPr/>
      </w:pPr>
      <w:r>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w:t>
      </w:r>
    </w:p>
    <w:p>
      <w:pPr>
        <w:pStyle w:val="Normal"/>
        <w:bidi w:val="0"/>
        <w:spacing w:before="0" w:after="0"/>
        <w:jc w:val="left"/>
        <w:rPr>
          <w:sz w:val="4"/>
          <w:szCs w:val="4"/>
        </w:rPr>
      </w:pPr>
      <w:r>
        <w:rPr>
          <w:sz w:val="4"/>
          <w:szCs w:val="4"/>
        </w:rPr>
      </w:r>
      <w:bookmarkStart w:id="19" w:name="Tc_JDgxYpEtQEC0YoGceoHlGQ_6_1"/>
      <w:bookmarkStart w:id="20" w:name="Tc_yJx0g0J_9UyKfb5sklVqAA_4_1"/>
      <w:bookmarkStart w:id="21" w:name="Tc_elgmzttiTkWMv2X27OQDaA_2_1"/>
      <w:bookmarkStart w:id="22" w:name="Tc_bMK4Yl0ZbkOrHq96H7n5LQ_0_1"/>
      <w:bookmarkStart w:id="23" w:name="_2c14c44f_969e_43b6_93e6_a27c7879fe9d"/>
      <w:bookmarkStart w:id="24" w:name="Tc_JDgxYpEtQEC0YoGceoHlGQ_6_1"/>
      <w:bookmarkStart w:id="25" w:name="Tc_yJx0g0J_9UyKfb5sklVqAA_4_1"/>
      <w:bookmarkStart w:id="26" w:name="Tc_elgmzttiTkWMv2X27OQDaA_2_1"/>
      <w:bookmarkStart w:id="27" w:name="Tc_bMK4Yl0ZbkOrHq96H7n5LQ_0_1"/>
      <w:bookmarkStart w:id="28" w:name="_2c14c44f_969e_43b6_93e6_a27c7879fe9d"/>
      <w:bookmarkEnd w:id="24"/>
      <w:bookmarkEnd w:id="25"/>
      <w:bookmarkEnd w:id="26"/>
      <w:bookmarkEnd w:id="27"/>
      <w:bookmarkEnd w:id="28"/>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29" w:name="Tc_4GE_JVVOdki_1gwPdQI4zA_0_4"/>
      <w:bookmarkStart w:id="30" w:name="Tc_uY2K1mHyzkqu_p42kO-Wvw_0_2"/>
      <w:bookmarkStart w:id="31" w:name="Tc_j4PWa7z8GEmDiZQp0ANGQw_0_0"/>
      <w:bookmarkStart w:id="32" w:name="_5ff3b4e7_5b9b_4fa4_88bb_2c717c569d2b"/>
      <w:bookmarkStart w:id="33" w:name="Tc_4GE_JVVOdki_1gwPdQI4zA_0_4"/>
      <w:bookmarkStart w:id="34" w:name="Tc_uY2K1mHyzkqu_p42kO-Wvw_0_2"/>
      <w:bookmarkStart w:id="35" w:name="Tc_j4PWa7z8GEmDiZQp0ANGQw_0_0"/>
      <w:bookmarkStart w:id="36" w:name="_5ff3b4e7_5b9b_4fa4_88bb_2c717c569d2b"/>
      <w:bookmarkEnd w:id="33"/>
      <w:bookmarkEnd w:id="34"/>
      <w:bookmarkEnd w:id="35"/>
      <w:bookmarkEnd w:id="36"/>
    </w:p>
    <w:tbl>
      <w:tblPr>
        <w:tblW w:w="6230" w:type="dxa"/>
        <w:jc w:val="left"/>
        <w:tblInd w:w="0" w:type="dxa"/>
        <w:tblLayout w:type="fixed"/>
        <w:tblCellMar>
          <w:top w:w="0" w:type="dxa"/>
          <w:left w:w="0" w:type="dxa"/>
          <w:bottom w:w="28" w:type="dxa"/>
          <w:right w:w="0" w:type="dxa"/>
        </w:tblCellMar>
      </w:tblPr>
      <w:tblGrid>
        <w:gridCol w:w="1396"/>
        <w:gridCol w:w="346"/>
        <w:gridCol w:w="826"/>
        <w:gridCol w:w="346"/>
        <w:gridCol w:w="3316"/>
      </w:tblGrid>
      <w:tr>
        <w:trPr/>
        <w:tc>
          <w:tcPr>
            <w:tcW w:w="139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tcMar>
              <w:bottom w:w="0" w:type="dxa"/>
            </w:tcMar>
            <w:vAlign w:val="center"/>
          </w:tcPr>
          <w:p>
            <w:pPr>
              <w:pStyle w:val="TableContents"/>
              <w:bidi w:val="0"/>
              <w:spacing w:before="0" w:after="0"/>
              <w:ind w:left="0" w:right="0" w:hanging="0"/>
              <w:jc w:val="center"/>
              <w:rPr/>
            </w:pPr>
            <w:r>
              <w:rPr/>
              <w:t>  ​ ​ ​</w:t>
            </w:r>
          </w:p>
        </w:tc>
        <w:tc>
          <w:tcPr>
            <w:tcW w:w="8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br/>
              <w:t>Symbol(s)</w:t>
            </w:r>
          </w:p>
        </w:tc>
        <w:tc>
          <w:tcPr>
            <w:tcW w:w="346" w:type="dxa"/>
            <w:tcBorders/>
            <w:tcMar>
              <w:bottom w:w="0" w:type="dxa"/>
            </w:tcMar>
            <w:vAlign w:val="center"/>
          </w:tcPr>
          <w:p>
            <w:pPr>
              <w:pStyle w:val="TableContents"/>
              <w:bidi w:val="0"/>
              <w:spacing w:before="0" w:after="0"/>
              <w:ind w:left="0" w:right="0" w:hanging="0"/>
              <w:jc w:val="both"/>
              <w:rPr/>
            </w:pPr>
            <w:r>
              <w:rPr/>
              <w:t>  ​ ​ ​</w:t>
            </w:r>
          </w:p>
        </w:tc>
        <w:tc>
          <w:tcPr>
            <w:tcW w:w="33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39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w:t>
            </w:r>
          </w:p>
        </w:tc>
        <w:tc>
          <w:tcPr>
            <w:tcW w:w="346" w:type="dxa"/>
            <w:tcBorders/>
            <w:tcMar>
              <w:bottom w:w="0" w:type="dxa"/>
            </w:tcMar>
            <w:vAlign w:val="center"/>
          </w:tcPr>
          <w:p>
            <w:pPr>
              <w:pStyle w:val="TableContents"/>
              <w:bidi w:val="0"/>
              <w:spacing w:before="0" w:after="240"/>
              <w:ind w:left="0" w:right="0" w:hanging="0"/>
              <w:jc w:val="both"/>
              <w:rPr/>
            </w:pPr>
            <w:r>
              <w:rPr/>
              <w:t>​</w:t>
            </w:r>
          </w:p>
        </w:tc>
        <w:tc>
          <w:tcPr>
            <w:tcW w:w="82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VHI</w:t>
            </w:r>
          </w:p>
        </w:tc>
        <w:tc>
          <w:tcPr>
            <w:tcW w:w="346" w:type="dxa"/>
            <w:tcBorders/>
            <w:tcMar>
              <w:bottom w:w="0" w:type="dxa"/>
            </w:tcMar>
            <w:vAlign w:val="center"/>
          </w:tcPr>
          <w:p>
            <w:pPr>
              <w:pStyle w:val="TableContents"/>
              <w:bidi w:val="0"/>
              <w:spacing w:before="0" w:after="240"/>
              <w:ind w:left="0" w:right="0" w:hanging="0"/>
              <w:jc w:val="both"/>
              <w:rPr/>
            </w:pPr>
            <w:r>
              <w:rPr/>
              <w:t>​</w:t>
            </w:r>
          </w:p>
        </w:tc>
        <w:tc>
          <w:tcPr>
            <w:tcW w:w="331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NYSE</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160"/>
        <w:ind w:left="0" w:right="0" w:firstLine="720"/>
        <w:jc w:val="righ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pBdr>
          <w:top w:val="single" w:sz="2" w:space="1" w:color="000000"/>
          <w:bottom w:val="single" w:sz="18" w:space="1" w:color="000000"/>
        </w:pBdr>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pPr>
      <w:r>
        <w:rPr/>
        <w:t>​</w:t>
      </w:r>
    </w:p>
    <w:p>
      <w:pPr>
        <w:pStyle w:val="Normal"/>
        <w:bidi w:val="0"/>
        <w:spacing w:before="0" w:after="0"/>
        <w:jc w:val="left"/>
        <w:rPr>
          <w:sz w:val="4"/>
          <w:szCs w:val="4"/>
        </w:rPr>
      </w:pPr>
      <w:r>
        <w:rPr>
          <w:sz w:val="4"/>
          <w:szCs w:val="4"/>
        </w:rPr>
      </w:r>
      <w:bookmarkStart w:id="37" w:name="_e84b39f9_06e0_4ff8_8158_e6708e8ee8a2"/>
      <w:bookmarkStart w:id="38" w:name="_e84b39f9_06e0_4ff8_8158_e6708e8ee8a2"/>
      <w:bookmarkEnd w:id="38"/>
    </w:p>
    <w:tbl>
      <w:tblPr>
        <w:tblW w:w="4889" w:type="dxa"/>
        <w:jc w:val="left"/>
        <w:tblInd w:w="0" w:type="dxa"/>
        <w:tblLayout w:type="fixed"/>
        <w:tblCellMar>
          <w:top w:w="0" w:type="dxa"/>
          <w:left w:w="0" w:type="dxa"/>
          <w:bottom w:w="0" w:type="dxa"/>
          <w:right w:w="0" w:type="dxa"/>
        </w:tblCellMar>
      </w:tblPr>
      <w:tblGrid>
        <w:gridCol w:w="898"/>
        <w:gridCol w:w="3991"/>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2.02</w:t>
            </w:r>
          </w:p>
        </w:tc>
        <w:tc>
          <w:tcPr>
            <w:tcW w:w="3991"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Results of Operations and Financial Condition.</w:t>
            </w:r>
          </w:p>
        </w:tc>
      </w:tr>
    </w:tbl>
    <w:p>
      <w:pPr>
        <w:pStyle w:val="TextBody"/>
        <w:bidi w:val="0"/>
        <w:spacing w:before="0" w:after="0"/>
        <w:ind w:left="0" w:right="0" w:hanging="0"/>
        <w:jc w:val="left"/>
        <w:rPr>
          <w:spacing w:val="-3"/>
        </w:rPr>
      </w:pPr>
      <w:r>
        <w:rPr>
          <w:spacing w:val="-3"/>
        </w:rPr>
        <w:t>​</w:t>
      </w:r>
    </w:p>
    <w:p>
      <w:pPr>
        <w:pStyle w:val="TextBody"/>
        <w:bidi w:val="0"/>
        <w:spacing w:before="0" w:after="0"/>
        <w:ind w:left="0" w:right="0" w:firstLine="720"/>
        <w:jc w:val="both"/>
        <w:rPr>
          <w:rFonts w:ascii="Times New Roman;Times;serif" w:hAnsi="Times New Roman;Times;serif"/>
          <w:spacing w:val="-3"/>
          <w:sz w:val="20"/>
        </w:rPr>
      </w:pPr>
      <w:r>
        <w:rPr>
          <w:rFonts w:ascii="Times New Roman;Times;serif" w:hAnsi="Times New Roman;Times;serif"/>
          <w:spacing w:val="-3"/>
          <w:sz w:val="20"/>
        </w:rPr>
        <w:t>The registrant hereby furnishes the information set forth in its press release entitled “Valhi Reports Second Quarter 2026 Results” that the registrant issued on August 6, 2026, a copy of which is attached hereto as Exhibit 99.1 and incorporated herein by reference.</w:t>
      </w:r>
    </w:p>
    <w:p>
      <w:pPr>
        <w:pStyle w:val="TextBody"/>
        <w:bidi w:val="0"/>
        <w:spacing w:before="0" w:after="0"/>
        <w:ind w:left="0" w:right="0" w:firstLine="720"/>
        <w:jc w:val="left"/>
        <w:rPr>
          <w:spacing w:val="-3"/>
        </w:rPr>
      </w:pPr>
      <w:r>
        <w:rPr>
          <w:spacing w:val="-3"/>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press release the registrant furnishes as Exhibit 99.1 to this current report is not </w:t>
      </w:r>
      <w:r>
        <w:rPr>
          <w:rFonts w:ascii="Times New Roman;Times;serif" w:hAnsi="Times New Roman;Times;serif"/>
          <w:spacing w:val="-3"/>
          <w:sz w:val="20"/>
        </w:rPr>
        <w:t>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pStyle w:val="TextBody"/>
        <w:pBdr/>
        <w:bidi w:val="0"/>
        <w:spacing w:before="0" w:after="0"/>
        <w:ind w:left="0" w:right="0" w:hanging="1440"/>
        <w:jc w:val="left"/>
        <w:rPr/>
      </w:pPr>
      <w:r>
        <w:rPr/>
        <w:t>​</w:t>
      </w:r>
    </w:p>
    <w:p>
      <w:pPr>
        <w:pStyle w:val="TextBody"/>
        <w:pBdr/>
        <w:bidi w:val="0"/>
        <w:spacing w:before="0" w:after="0"/>
        <w:ind w:left="0" w:right="0" w:hanging="1620"/>
        <w:jc w:val="left"/>
        <w:rPr/>
      </w:pPr>
      <w:r>
        <w:rPr/>
        <w:t>​</w:t>
      </w:r>
    </w:p>
    <w:p>
      <w:pPr>
        <w:pStyle w:val="TextBody"/>
        <w:pBdr/>
        <w:bidi w:val="0"/>
        <w:spacing w:before="0" w:after="0"/>
        <w:ind w:left="0" w:right="0" w:hanging="1620"/>
        <w:jc w:val="left"/>
        <w:rPr/>
      </w:pPr>
      <w:r>
        <w:rPr/>
        <w:t>​</w:t>
      </w:r>
    </w:p>
    <w:p>
      <w:pPr>
        <w:pStyle w:val="TextBody"/>
        <w:pBdr/>
        <w:bidi w:val="0"/>
        <w:spacing w:before="0" w:after="0"/>
        <w:ind w:left="0" w:right="0" w:hanging="1440"/>
        <w:jc w:val="left"/>
        <w:rPr/>
      </w:pPr>
      <w:r>
        <w:rPr/>
        <w:t>​</w:t>
      </w:r>
    </w:p>
    <w:p>
      <w:pPr>
        <w:pStyle w:val="TextBody"/>
        <w:pBdr/>
        <w:bidi w:val="0"/>
        <w:spacing w:before="0" w:after="0"/>
        <w:ind w:left="0" w:right="0" w:hanging="1620"/>
        <w:jc w:val="left"/>
        <w:rPr/>
      </w:pPr>
      <w:r>
        <w:rPr/>
        <w:t>​</w:t>
      </w:r>
    </w:p>
    <w:p>
      <w:pPr>
        <w:pStyle w:val="TextBody"/>
        <w:pBdr/>
        <w:bidi w:val="0"/>
        <w:spacing w:before="0" w:after="0"/>
        <w:ind w:left="0" w:right="0" w:hanging="1627"/>
        <w:jc w:val="left"/>
        <w:rPr/>
      </w:pPr>
      <w:r>
        <w:rPr/>
        <w:t>​</w:t>
      </w:r>
    </w:p>
    <w:p>
      <w:pPr>
        <w:pStyle w:val="TextBody"/>
        <w:pBdr/>
        <w:bidi w:val="0"/>
        <w:spacing w:before="0" w:after="0"/>
        <w:ind w:left="0" w:right="0" w:hanging="1620"/>
        <w:jc w:val="left"/>
        <w:rPr/>
      </w:pPr>
      <w:r>
        <w:rPr/>
        <w:t>​</w:t>
      </w:r>
    </w:p>
    <w:p>
      <w:pPr>
        <w:pStyle w:val="TextBody"/>
        <w:pBdr/>
        <w:bidi w:val="0"/>
        <w:spacing w:before="0" w:after="0"/>
        <w:ind w:left="0" w:right="0" w:hanging="1440"/>
        <w:jc w:val="left"/>
        <w:rPr/>
      </w:pPr>
      <w:r>
        <w:rPr/>
        <w:t>​</w:t>
      </w:r>
    </w:p>
    <w:p>
      <w:pPr>
        <w:pStyle w:val="TextBody"/>
        <w:pBdr/>
        <w:bidi w:val="0"/>
        <w:spacing w:lineRule="auto" w:line="57" w:before="0" w:after="0"/>
        <w:ind w:left="0" w:right="0" w:hanging="1440"/>
        <w:jc w:val="left"/>
        <w:rPr/>
      </w:pPr>
      <w:bookmarkStart w:id="39" w:name="_ef71425c_9a37_4e0c_9e77_587015245db5"/>
      <w:bookmarkEnd w:id="39"/>
      <w:r>
        <w:rPr/>
        <w:t>​</w:t>
      </w:r>
    </w:p>
    <w:p>
      <w:pPr>
        <w:pStyle w:val="TextBody"/>
        <w:bidi w:val="0"/>
        <w:spacing w:lineRule="auto" w:line="228" w:before="0" w:after="0"/>
        <w:ind w:left="0" w:right="0" w:hanging="0"/>
        <w:jc w:val="left"/>
        <w:rPr/>
      </w:pPr>
      <w:r>
        <w:rPr/>
        <w:t>​</w:t>
      </w:r>
    </w:p>
    <w:tbl>
      <w:tblPr>
        <w:tblW w:w="4889" w:type="dxa"/>
        <w:jc w:val="left"/>
        <w:tblInd w:w="0" w:type="dxa"/>
        <w:tblLayout w:type="fixed"/>
        <w:tblCellMar>
          <w:top w:w="0" w:type="dxa"/>
          <w:left w:w="0" w:type="dxa"/>
          <w:bottom w:w="0" w:type="dxa"/>
          <w:right w:w="0" w:type="dxa"/>
        </w:tblCellMar>
      </w:tblPr>
      <w:tblGrid>
        <w:gridCol w:w="898"/>
        <w:gridCol w:w="3991"/>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7.01</w:t>
            </w:r>
          </w:p>
        </w:tc>
        <w:tc>
          <w:tcPr>
            <w:tcW w:w="3991"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Results of Operations and Financial Condition.</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pacing w:val="-3"/>
          <w:sz w:val="20"/>
        </w:rPr>
        <w:t>The registrant hereby furnishes the information set forth in its press release entitled “Valhi</w:t>
      </w:r>
      <w:r>
        <w:rPr>
          <w:rFonts w:ascii="Times New Roman;Times;serif" w:hAnsi="Times New Roman;Times;serif"/>
          <w:sz w:val="20"/>
        </w:rPr>
        <w:t> Declares Quarterly Dividend</w:t>
      </w:r>
      <w:r>
        <w:rPr>
          <w:rFonts w:ascii="Times New Roman;Times;serif" w:hAnsi="Times New Roman;Times;serif"/>
          <w:spacing w:val="-3"/>
          <w:sz w:val="20"/>
        </w:rPr>
        <w:t>” that the registrant also </w:t>
      </w:r>
      <w:r>
        <w:rPr>
          <w:rFonts w:ascii="Times New Roman;Times;serif" w:hAnsi="Times New Roman;Times;serif"/>
          <w:sz w:val="20"/>
        </w:rPr>
        <w:t>issued on August 6, 2026, a copy of which is attached hereto as Exhibit 99.2 and incorporated herein by reference.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press release the registrant furnishes as Exhibit 99.2 to this current report is not “filed” for purposes of section 18 of the Securities Exchange Act of 1934, as amended, or otherwise subject to the liabilities of that section.  Registration statements or other documents filed with the </w:t>
      </w:r>
      <w:r>
        <w:rPr>
          <w:rFonts w:ascii="Times New Roman;Times;serif" w:hAnsi="Times New Roman;Times;serif"/>
          <w:spacing w:val="-3"/>
          <w:sz w:val="20"/>
        </w:rPr>
        <w:t>U.S. </w:t>
      </w:r>
      <w:r>
        <w:rPr>
          <w:rFonts w:ascii="Times New Roman;Times;serif" w:hAnsi="Times New Roman;Times;serif"/>
          <w:sz w:val="20"/>
        </w:rPr>
        <w:t>Securities and Exchange Commission shall not incorporate this information by reference, except as otherwise expressly stated in such filing.</w:t>
      </w:r>
    </w:p>
    <w:p>
      <w:pPr>
        <w:pStyle w:val="TextBody"/>
        <w:pBdr/>
        <w:bidi w:val="0"/>
        <w:spacing w:before="0" w:after="0"/>
        <w:ind w:left="0" w:right="0" w:hanging="1440"/>
        <w:jc w:val="left"/>
        <w:rPr/>
      </w:pPr>
      <w:r>
        <w:rPr/>
        <w:t>​</w:t>
      </w:r>
    </w:p>
    <w:p>
      <w:pPr>
        <w:pStyle w:val="Normal"/>
        <w:bidi w:val="0"/>
        <w:spacing w:before="0" w:after="0"/>
        <w:jc w:val="left"/>
        <w:rPr>
          <w:sz w:val="4"/>
          <w:szCs w:val="4"/>
        </w:rPr>
      </w:pPr>
      <w:r>
        <w:rPr>
          <w:sz w:val="4"/>
          <w:szCs w:val="4"/>
        </w:rPr>
      </w:r>
      <w:bookmarkStart w:id="40" w:name="_9492e579_fd04_4876_b4e4_6129d786678a"/>
      <w:bookmarkStart w:id="41" w:name="_9492e579_fd04_4876_b4e4_6129d786678a"/>
      <w:bookmarkEnd w:id="41"/>
    </w:p>
    <w:tbl>
      <w:tblPr>
        <w:tblW w:w="3893" w:type="dxa"/>
        <w:jc w:val="left"/>
        <w:tblInd w:w="0" w:type="dxa"/>
        <w:tblLayout w:type="fixed"/>
        <w:tblCellMar>
          <w:top w:w="0" w:type="dxa"/>
          <w:left w:w="0" w:type="dxa"/>
          <w:bottom w:w="0" w:type="dxa"/>
          <w:right w:w="0" w:type="dxa"/>
        </w:tblCellMar>
      </w:tblPr>
      <w:tblGrid>
        <w:gridCol w:w="898"/>
        <w:gridCol w:w="2995"/>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9.01</w:t>
            </w:r>
          </w:p>
        </w:tc>
        <w:tc>
          <w:tcPr>
            <w:tcW w:w="2995"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Financial Statements and Exhibits.</w:t>
            </w:r>
          </w:p>
        </w:tc>
      </w:tr>
    </w:tbl>
    <w:p>
      <w:pPr>
        <w:pStyle w:val="TextBody"/>
        <w:pBdr/>
        <w:bidi w:val="0"/>
        <w:spacing w:before="0" w:after="0"/>
        <w:ind w:left="0" w:right="0" w:hanging="1620"/>
        <w:jc w:val="left"/>
        <w:rPr>
          <w:spacing w:val="-3"/>
        </w:rPr>
      </w:pPr>
      <w:r>
        <w:rPr>
          <w:spacing w:val="-3"/>
        </w:rPr>
        <w:t>​</w:t>
      </w:r>
    </w:p>
    <w:tbl>
      <w:tblPr>
        <w:tblW w:w="10205" w:type="dxa"/>
        <w:jc w:val="left"/>
        <w:tblInd w:w="0" w:type="dxa"/>
        <w:tblLayout w:type="fixed"/>
        <w:tblCellMar>
          <w:top w:w="0" w:type="dxa"/>
          <w:left w:w="0" w:type="dxa"/>
          <w:bottom w:w="0" w:type="dxa"/>
          <w:right w:w="0" w:type="dxa"/>
        </w:tblCellMar>
      </w:tblPr>
      <w:tblGrid>
        <w:gridCol w:w="338"/>
        <w:gridCol w:w="808"/>
        <w:gridCol w:w="109"/>
        <w:gridCol w:w="8950"/>
      </w:tblGrid>
      <w:tr>
        <w:trPr/>
        <w:tc>
          <w:tcPr>
            <w:tcW w:w="3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808"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8950" w:type="dxa"/>
            <w:tcBorders/>
            <w:vAlign w:val="center"/>
          </w:tcPr>
          <w:p>
            <w:pPr>
              <w:pStyle w:val="TableContents"/>
              <w:bidi w:val="0"/>
              <w:spacing w:before="0" w:after="0"/>
              <w:ind w:left="0" w:right="0" w:hanging="0"/>
              <w:jc w:val="left"/>
              <w:rPr/>
            </w:pPr>
            <w:r>
              <w:rPr/>
              <w:t>​</w:t>
            </w:r>
          </w:p>
        </w:tc>
      </w:tr>
      <w:tr>
        <w:trPr/>
        <w:tc>
          <w:tcPr>
            <w:tcW w:w="338"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(d)</w:t>
            </w:r>
          </w:p>
        </w:tc>
        <w:tc>
          <w:tcPr>
            <w:tcW w:w="808"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Exhibits</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0" w:type="dxa"/>
            <w:tcBorders/>
            <w:vAlign w:val="center"/>
          </w:tcPr>
          <w:p>
            <w:pPr>
              <w:pStyle w:val="TableContents"/>
              <w:bidi w:val="0"/>
              <w:spacing w:before="0" w:after="0"/>
              <w:ind w:left="0" w:right="0" w:hanging="0"/>
              <w:jc w:val="left"/>
              <w:rPr>
                <w:spacing w:val="-3"/>
              </w:rPr>
            </w:pPr>
            <w:r>
              <w:rPr>
                <w:spacing w:val="-3"/>
              </w:rPr>
              <w:t>​</w:t>
            </w:r>
          </w:p>
        </w:tc>
      </w:tr>
      <w:tr>
        <w:trPr/>
        <w:tc>
          <w:tcPr>
            <w:tcW w:w="338" w:type="dxa"/>
            <w:tcBorders/>
            <w:vAlign w:val="center"/>
          </w:tcPr>
          <w:p>
            <w:pPr>
              <w:pStyle w:val="TableContents"/>
              <w:bidi w:val="0"/>
              <w:spacing w:before="0" w:after="0"/>
              <w:ind w:left="0" w:right="0" w:hanging="0"/>
              <w:jc w:val="left"/>
              <w:rPr>
                <w:spacing w:val="-3"/>
              </w:rPr>
            </w:pPr>
            <w:r>
              <w:rPr>
                <w:spacing w:val="-3"/>
              </w:rPr>
              <w:t>​</w:t>
            </w:r>
          </w:p>
        </w:tc>
        <w:tc>
          <w:tcPr>
            <w:tcW w:w="808"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0" w:type="dxa"/>
            <w:tcBorders/>
            <w:vAlign w:val="center"/>
          </w:tcPr>
          <w:p>
            <w:pPr>
              <w:pStyle w:val="TableContents"/>
              <w:bidi w:val="0"/>
              <w:spacing w:before="0" w:after="0"/>
              <w:ind w:left="0" w:right="0" w:hanging="0"/>
              <w:jc w:val="left"/>
              <w:rPr>
                <w:spacing w:val="-3"/>
              </w:rPr>
            </w:pPr>
            <w:r>
              <w:rPr>
                <w:spacing w:val="-3"/>
              </w:rPr>
              <w:t>​</w:t>
            </w:r>
          </w:p>
        </w:tc>
      </w:tr>
      <w:tr>
        <w:trPr/>
        <w:tc>
          <w:tcPr>
            <w:tcW w:w="338" w:type="dxa"/>
            <w:tcBorders/>
            <w:vAlign w:val="center"/>
          </w:tcPr>
          <w:p>
            <w:pPr>
              <w:pStyle w:val="TableContents"/>
              <w:bidi w:val="0"/>
              <w:spacing w:before="0" w:after="0"/>
              <w:ind w:left="0" w:right="0" w:hanging="0"/>
              <w:jc w:val="center"/>
              <w:rPr>
                <w:spacing w:val="-3"/>
              </w:rPr>
            </w:pPr>
            <w:r>
              <w:rPr>
                <w:spacing w:val="-3"/>
              </w:rPr>
              <w:t>​</w:t>
            </w:r>
          </w:p>
        </w:tc>
        <w:tc>
          <w:tcPr>
            <w:tcW w:w="808"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pacing w:val="-3"/>
                <w:sz w:val="20"/>
              </w:rPr>
            </w:pPr>
            <w:r>
              <w:rPr>
                <w:rFonts w:ascii="Times New Roman;Times;serif" w:hAnsi="Times New Roman;Times;serif"/>
                <w:b/>
                <w:spacing w:val="-3"/>
                <w:sz w:val="20"/>
              </w:rPr>
              <w:t>Item No.</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0"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pacing w:val="-3"/>
                <w:sz w:val="20"/>
              </w:rPr>
            </w:pPr>
            <w:r>
              <w:rPr>
                <w:rFonts w:ascii="Times New Roman;Times;serif" w:hAnsi="Times New Roman;Times;serif"/>
                <w:b/>
                <w:spacing w:val="-3"/>
                <w:sz w:val="20"/>
              </w:rPr>
              <w:t>Description</w:t>
            </w:r>
          </w:p>
        </w:tc>
      </w:tr>
      <w:tr>
        <w:trPr/>
        <w:tc>
          <w:tcPr>
            <w:tcW w:w="338" w:type="dxa"/>
            <w:tcBorders/>
            <w:vAlign w:val="center"/>
          </w:tcPr>
          <w:p>
            <w:pPr>
              <w:pStyle w:val="TableContents"/>
              <w:bidi w:val="0"/>
              <w:spacing w:before="0" w:after="0"/>
              <w:ind w:left="0" w:right="0" w:hanging="0"/>
              <w:jc w:val="left"/>
              <w:rPr>
                <w:spacing w:val="-3"/>
              </w:rPr>
            </w:pPr>
            <w:r>
              <w:rPr>
                <w:spacing w:val="-3"/>
              </w:rPr>
              <w:t>​</w:t>
            </w:r>
          </w:p>
        </w:tc>
        <w:tc>
          <w:tcPr>
            <w:tcW w:w="808"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0" w:type="dxa"/>
            <w:tcBorders/>
            <w:vAlign w:val="center"/>
          </w:tcPr>
          <w:p>
            <w:pPr>
              <w:pStyle w:val="TableContents"/>
              <w:bidi w:val="0"/>
              <w:spacing w:before="0" w:after="0"/>
              <w:ind w:left="0" w:right="0" w:hanging="0"/>
              <w:jc w:val="left"/>
              <w:rPr>
                <w:spacing w:val="-3"/>
              </w:rPr>
            </w:pPr>
            <w:r>
              <w:rPr>
                <w:spacing w:val="-3"/>
              </w:rPr>
              <w:t>​</w:t>
            </w:r>
          </w:p>
        </w:tc>
      </w:tr>
      <w:tr>
        <w:trPr/>
        <w:tc>
          <w:tcPr>
            <w:tcW w:w="338" w:type="dxa"/>
            <w:tcBorders/>
            <w:vAlign w:val="center"/>
          </w:tcPr>
          <w:p>
            <w:pPr>
              <w:pStyle w:val="TableContents"/>
              <w:bidi w:val="0"/>
              <w:spacing w:before="0" w:after="0"/>
              <w:ind w:left="0" w:right="0" w:hanging="0"/>
              <w:jc w:val="left"/>
              <w:rPr>
                <w:spacing w:val="-3"/>
              </w:rPr>
            </w:pPr>
            <w:r>
              <w:rPr>
                <w:spacing w:val="-3"/>
              </w:rPr>
              <w:t>​</w:t>
            </w:r>
          </w:p>
        </w:tc>
        <w:tc>
          <w:tcPr>
            <w:tcW w:w="808"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99.1</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0" w:type="dxa"/>
            <w:tcBorders/>
            <w:vAlign w:val="center"/>
          </w:tcPr>
          <w:p>
            <w:pPr>
              <w:pStyle w:val="TableContents"/>
              <w:bidi w:val="0"/>
              <w:spacing w:before="0" w:after="0"/>
              <w:ind w:left="0" w:right="0" w:hanging="0"/>
              <w:jc w:val="left"/>
              <w:rPr/>
            </w:pPr>
            <w:hyperlink w:anchor="vhl-20260806xex99d1.htm">
              <w:r>
                <w:rPr>
                  <w:rStyle w:val="InternetLink"/>
                  <w:rFonts w:ascii="Times New Roman;Times;serif" w:hAnsi="Times New Roman;Times;serif"/>
                  <w:b w:val="false"/>
                  <w:i w:val="false"/>
                  <w:caps w:val="false"/>
                  <w:smallCaps w:val="false"/>
                  <w:sz w:val="20"/>
                </w:rPr>
                <w:t xml:space="preserve">Press release dated August 6, 2026 </w:t>
              </w:r>
            </w:hyperlink>
            <w:hyperlink w:anchor="vhl-20260806xex99d1.htm">
              <w:r>
                <w:rPr>
                  <w:rStyle w:val="InternetLink"/>
                  <w:rFonts w:ascii="Times New Roman;Times;serif" w:hAnsi="Times New Roman;Times;serif"/>
                  <w:b w:val="false"/>
                  <w:i w:val="false"/>
                  <w:caps w:val="false"/>
                  <w:smallCaps w:val="false"/>
                  <w:spacing w:val="-3"/>
                  <w:sz w:val="20"/>
                </w:rPr>
                <w:t xml:space="preserve">entitled “Valhi Reports Second Quarter 2026 Results” and </w:t>
              </w:r>
            </w:hyperlink>
            <w:hyperlink w:anchor="vhl-20260806xex99d1.htm">
              <w:r>
                <w:rPr>
                  <w:rStyle w:val="InternetLink"/>
                  <w:rFonts w:ascii="Times New Roman;Times;serif" w:hAnsi="Times New Roman;Times;serif"/>
                  <w:b w:val="false"/>
                  <w:i w:val="false"/>
                  <w:caps w:val="false"/>
                  <w:smallCaps w:val="false"/>
                  <w:sz w:val="20"/>
                </w:rPr>
                <w:t>issued by the registrant.</w:t>
              </w:r>
            </w:hyperlink>
          </w:p>
        </w:tc>
      </w:tr>
      <w:tr>
        <w:trPr/>
        <w:tc>
          <w:tcPr>
            <w:tcW w:w="338" w:type="dxa"/>
            <w:tcBorders/>
            <w:vAlign w:val="center"/>
          </w:tcPr>
          <w:p>
            <w:pPr>
              <w:pStyle w:val="TableContents"/>
              <w:bidi w:val="0"/>
              <w:spacing w:before="0" w:after="0"/>
              <w:ind w:left="0" w:right="0" w:hanging="0"/>
              <w:jc w:val="left"/>
              <w:rPr>
                <w:spacing w:val="-3"/>
              </w:rPr>
            </w:pPr>
            <w:r>
              <w:rPr>
                <w:spacing w:val="-3"/>
              </w:rPr>
              <w:t>​</w:t>
            </w:r>
          </w:p>
        </w:tc>
        <w:tc>
          <w:tcPr>
            <w:tcW w:w="808"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0" w:type="dxa"/>
            <w:tcBorders/>
            <w:vAlign w:val="center"/>
          </w:tcPr>
          <w:p>
            <w:pPr>
              <w:pStyle w:val="TableContents"/>
              <w:bidi w:val="0"/>
              <w:spacing w:before="0" w:after="0"/>
              <w:ind w:left="0" w:right="0" w:hanging="0"/>
              <w:jc w:val="left"/>
              <w:rPr>
                <w:spacing w:val="-3"/>
              </w:rPr>
            </w:pPr>
            <w:r>
              <w:rPr>
                <w:spacing w:val="-3"/>
              </w:rPr>
              <w:t>​</w:t>
            </w:r>
          </w:p>
        </w:tc>
      </w:tr>
      <w:tr>
        <w:trPr/>
        <w:tc>
          <w:tcPr>
            <w:tcW w:w="338" w:type="dxa"/>
            <w:tcBorders/>
            <w:vAlign w:val="center"/>
          </w:tcPr>
          <w:p>
            <w:pPr>
              <w:pStyle w:val="TableContents"/>
              <w:bidi w:val="0"/>
              <w:spacing w:before="0" w:after="0"/>
              <w:ind w:left="0" w:right="0" w:hanging="0"/>
              <w:jc w:val="left"/>
              <w:rPr>
                <w:spacing w:val="-3"/>
              </w:rPr>
            </w:pPr>
            <w:r>
              <w:rPr>
                <w:spacing w:val="-3"/>
              </w:rPr>
              <w:t>​</w:t>
            </w:r>
          </w:p>
        </w:tc>
        <w:tc>
          <w:tcPr>
            <w:tcW w:w="808"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99.2</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0" w:type="dxa"/>
            <w:tcBorders/>
            <w:vAlign w:val="center"/>
          </w:tcPr>
          <w:p>
            <w:pPr>
              <w:pStyle w:val="TableContents"/>
              <w:bidi w:val="0"/>
              <w:spacing w:before="0" w:after="0"/>
              <w:ind w:left="0" w:right="0" w:hanging="0"/>
              <w:jc w:val="left"/>
              <w:rPr/>
            </w:pPr>
            <w:hyperlink w:anchor="vhl-20260806xex99d2.htm">
              <w:r>
                <w:rPr>
                  <w:rStyle w:val="InternetLink"/>
                  <w:rFonts w:ascii="Times New Roman;Times;serif" w:hAnsi="Times New Roman;Times;serif"/>
                  <w:b w:val="false"/>
                  <w:i w:val="false"/>
                  <w:caps w:val="false"/>
                  <w:smallCaps w:val="false"/>
                  <w:spacing w:val="-3"/>
                  <w:sz w:val="20"/>
                </w:rPr>
                <w:t>Press release dated August 6, 2026 entitled “Valhi Declares Quarterly Dividend” and issued by the registrant.</w:t>
              </w:r>
            </w:hyperlink>
          </w:p>
        </w:tc>
      </w:tr>
      <w:tr>
        <w:trPr/>
        <w:tc>
          <w:tcPr>
            <w:tcW w:w="338" w:type="dxa"/>
            <w:tcBorders/>
            <w:vAlign w:val="center"/>
          </w:tcPr>
          <w:p>
            <w:pPr>
              <w:pStyle w:val="TableContents"/>
              <w:bidi w:val="0"/>
              <w:spacing w:before="0" w:after="0"/>
              <w:ind w:left="0" w:right="0" w:hanging="0"/>
              <w:jc w:val="left"/>
              <w:rPr>
                <w:spacing w:val="-3"/>
              </w:rPr>
            </w:pPr>
            <w:r>
              <w:rPr>
                <w:spacing w:val="-3"/>
              </w:rPr>
              <w:t>​</w:t>
            </w:r>
          </w:p>
        </w:tc>
        <w:tc>
          <w:tcPr>
            <w:tcW w:w="808"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0" w:type="dxa"/>
            <w:tcBorders/>
            <w:vAlign w:val="center"/>
          </w:tcPr>
          <w:p>
            <w:pPr>
              <w:pStyle w:val="TableContents"/>
              <w:bidi w:val="0"/>
              <w:spacing w:before="0" w:after="0"/>
              <w:ind w:left="0" w:right="0" w:hanging="0"/>
              <w:jc w:val="left"/>
              <w:rPr>
                <w:spacing w:val="-3"/>
              </w:rPr>
            </w:pPr>
            <w:r>
              <w:rPr>
                <w:spacing w:val="-3"/>
              </w:rPr>
              <w:t>​</w:t>
            </w:r>
          </w:p>
        </w:tc>
      </w:tr>
      <w:tr>
        <w:trPr/>
        <w:tc>
          <w:tcPr>
            <w:tcW w:w="338" w:type="dxa"/>
            <w:tcBorders/>
            <w:vAlign w:val="center"/>
          </w:tcPr>
          <w:p>
            <w:pPr>
              <w:pStyle w:val="TableContents"/>
              <w:bidi w:val="0"/>
              <w:spacing w:before="0" w:after="0"/>
              <w:ind w:left="0" w:right="0" w:hanging="0"/>
              <w:jc w:val="left"/>
              <w:rPr>
                <w:spacing w:val="-3"/>
              </w:rPr>
            </w:pPr>
            <w:r>
              <w:rPr>
                <w:spacing w:val="-3"/>
              </w:rPr>
              <w:t>​</w:t>
            </w:r>
          </w:p>
        </w:tc>
        <w:tc>
          <w:tcPr>
            <w:tcW w:w="808"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104</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pacing w:val="-3"/>
          <w:sz w:val="20"/>
        </w:rPr>
      </w:pPr>
      <w:bookmarkStart w:id="42" w:name="_7a450d3d_1b5d_4e94_9d66_00884ede2c2b"/>
      <w:bookmarkEnd w:id="42"/>
      <w:r>
        <w:rPr>
          <w:rFonts w:ascii="Times New Roman;Times;serif" w:hAnsi="Times New Roman;Times;serif"/>
          <w:b/>
          <w:spacing w:val="-3"/>
          <w:sz w:val="20"/>
        </w:rPr>
        <w:t>SIGNATURE</w:t>
      </w:r>
    </w:p>
    <w:p>
      <w:pPr>
        <w:pStyle w:val="TextBody"/>
        <w:bidi w:val="0"/>
        <w:spacing w:before="0" w:after="0"/>
        <w:ind w:left="0" w:right="0" w:hanging="0"/>
        <w:jc w:val="left"/>
        <w:rPr>
          <w:spacing w:val="-3"/>
        </w:rPr>
      </w:pPr>
      <w:r>
        <w:rPr>
          <w:spacing w:val="-3"/>
        </w:rPr>
        <w:t>​</w:t>
      </w:r>
    </w:p>
    <w:p>
      <w:pPr>
        <w:pStyle w:val="TextBody"/>
        <w:bidi w:val="0"/>
        <w:spacing w:before="0" w:after="0"/>
        <w:ind w:left="0" w:right="0" w:firstLine="720"/>
        <w:jc w:val="left"/>
        <w:rPr>
          <w:rFonts w:ascii="Times New Roman;Times;serif" w:hAnsi="Times New Roman;Times;serif"/>
          <w:spacing w:val="-3"/>
          <w:sz w:val="20"/>
        </w:rPr>
      </w:pPr>
      <w:r>
        <w:rPr>
          <w:rFonts w:ascii="Times New Roman;Times;serif" w:hAnsi="Times New Roman;Times;serif"/>
          <w:spacing w:val="-3"/>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spacing w:val="-3"/>
        </w:rPr>
      </w:pPr>
      <w:r>
        <w:rPr>
          <w:spacing w:val="-3"/>
        </w:rPr>
        <w:t>​</w:t>
      </w:r>
    </w:p>
    <w:tbl>
      <w:tblPr>
        <w:tblW w:w="4325" w:type="dxa"/>
        <w:jc w:val="left"/>
        <w:tblInd w:w="0" w:type="dxa"/>
        <w:tblLayout w:type="fixed"/>
        <w:tblCellMar>
          <w:top w:w="0" w:type="dxa"/>
          <w:left w:w="0" w:type="dxa"/>
          <w:bottom w:w="0" w:type="dxa"/>
          <w:right w:w="0" w:type="dxa"/>
        </w:tblCellMar>
      </w:tblPr>
      <w:tblGrid>
        <w:gridCol w:w="1807"/>
        <w:gridCol w:w="2518"/>
      </w:tblGrid>
      <w:tr>
        <w:trPr/>
        <w:tc>
          <w:tcPr>
            <w:tcW w:w="1807"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3</w:t>
            </w:r>
          </w:p>
        </w:tc>
        <w:tc>
          <w:tcPr>
            <w:tcW w:w="2518" w:type="dxa"/>
            <w:tcBorders/>
            <w:vAlign w:val="center"/>
          </w:tcPr>
          <w:p>
            <w:pPr>
              <w:pStyle w:val="TableContents"/>
              <w:bidi w:val="0"/>
              <w:spacing w:before="0" w:after="283"/>
              <w:ind w:left="0" w:right="0" w:hanging="0"/>
              <w:jc w:val="left"/>
              <w:rPr>
                <w:sz w:val="4"/>
                <w:szCs w:val="4"/>
              </w:rPr>
            </w:pPr>
            <w:r>
              <w:rPr>
                <w:sz w:val="4"/>
                <w:szCs w:val="4"/>
              </w:rPr>
            </w:r>
          </w:p>
        </w:tc>
      </w:tr>
      <w:tr>
        <w:trPr/>
        <w:tc>
          <w:tcPr>
            <w:tcW w:w="1807" w:type="dxa"/>
            <w:tcBorders/>
            <w:vAlign w:val="center"/>
          </w:tcPr>
          <w:p>
            <w:pPr>
              <w:pStyle w:val="TableContents"/>
              <w:bidi w:val="0"/>
              <w:spacing w:before="0" w:after="0"/>
              <w:ind w:left="0" w:right="0" w:hanging="0"/>
              <w:jc w:val="left"/>
              <w:rPr>
                <w:smallCaps/>
                <w:spacing w:val="-3"/>
              </w:rPr>
            </w:pPr>
            <w:r>
              <w:rPr>
                <w:smallCaps/>
                <w:spacing w:val="-3"/>
              </w:rPr>
              <w:t>​</w:t>
            </w:r>
          </w:p>
        </w:tc>
        <w:tc>
          <w:tcPr>
            <w:tcW w:w="2518" w:type="dxa"/>
            <w:tcBorders/>
            <w:vAlign w:val="center"/>
          </w:tcPr>
          <w:p>
            <w:pPr>
              <w:pStyle w:val="TableContents"/>
              <w:bidi w:val="0"/>
              <w:spacing w:before="0" w:after="0"/>
              <w:ind w:left="0" w:right="0" w:hanging="0"/>
              <w:jc w:val="left"/>
              <w:rPr>
                <w:rFonts w:ascii="Times New Roman Bold" w:hAnsi="Times New Roman Bold"/>
                <w:b/>
                <w:smallCaps/>
                <w:spacing w:val="-3"/>
                <w:sz w:val="20"/>
              </w:rPr>
            </w:pPr>
            <w:r>
              <w:rPr>
                <w:rFonts w:ascii="Times New Roman Bold" w:hAnsi="Times New Roman Bold"/>
                <w:b/>
                <w:smallCaps/>
                <w:spacing w:val="-3"/>
                <w:sz w:val="20"/>
              </w:rPr>
              <w:t>Valhi, Inc.</w:t>
            </w:r>
          </w:p>
        </w:tc>
      </w:tr>
      <w:tr>
        <w:trPr/>
        <w:tc>
          <w:tcPr>
            <w:tcW w:w="1807" w:type="dxa"/>
            <w:tcBorders/>
            <w:vAlign w:val="center"/>
          </w:tcPr>
          <w:p>
            <w:pPr>
              <w:pStyle w:val="TableContents"/>
              <w:bidi w:val="0"/>
              <w:spacing w:before="0" w:after="0"/>
              <w:ind w:left="0" w:right="0" w:hanging="0"/>
              <w:jc w:val="left"/>
              <w:rPr>
                <w:spacing w:val="-3"/>
              </w:rPr>
            </w:pPr>
            <w:r>
              <w:rPr>
                <w:spacing w:val="-3"/>
              </w:rPr>
              <w:t>​</w:t>
            </w:r>
          </w:p>
        </w:tc>
        <w:tc>
          <w:tcPr>
            <w:tcW w:w="2518"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(Registrant)</w:t>
            </w:r>
          </w:p>
        </w:tc>
      </w:tr>
      <w:tr>
        <w:trPr/>
        <w:tc>
          <w:tcPr>
            <w:tcW w:w="1807" w:type="dxa"/>
            <w:tcBorders/>
            <w:vAlign w:val="center"/>
          </w:tcPr>
          <w:p>
            <w:pPr>
              <w:pStyle w:val="TableContents"/>
              <w:bidi w:val="0"/>
              <w:spacing w:before="0" w:after="0"/>
              <w:ind w:left="0" w:right="0" w:hanging="0"/>
              <w:jc w:val="left"/>
              <w:rPr>
                <w:spacing w:val="-3"/>
              </w:rPr>
            </w:pPr>
            <w:r>
              <w:rPr>
                <w:spacing w:val="-3"/>
              </w:rPr>
              <w:t>​</w:t>
            </w:r>
          </w:p>
        </w:tc>
        <w:tc>
          <w:tcPr>
            <w:tcW w:w="2518" w:type="dxa"/>
            <w:tcBorders/>
            <w:vAlign w:val="center"/>
          </w:tcPr>
          <w:p>
            <w:pPr>
              <w:pStyle w:val="TableContents"/>
              <w:bidi w:val="0"/>
              <w:spacing w:before="0" w:after="0"/>
              <w:ind w:left="0" w:right="0" w:hanging="0"/>
              <w:jc w:val="left"/>
              <w:rPr>
                <w:spacing w:val="-3"/>
              </w:rPr>
            </w:pPr>
            <w:r>
              <w:rPr>
                <w:spacing w:val="-3"/>
              </w:rPr>
              <w:t>​</w:t>
            </w:r>
          </w:p>
        </w:tc>
      </w:tr>
      <w:tr>
        <w:trPr/>
        <w:tc>
          <w:tcPr>
            <w:tcW w:w="1807" w:type="dxa"/>
            <w:tcBorders/>
            <w:vAlign w:val="center"/>
          </w:tcPr>
          <w:p>
            <w:pPr>
              <w:pStyle w:val="TableContents"/>
              <w:bidi w:val="0"/>
              <w:spacing w:before="0" w:after="0"/>
              <w:ind w:left="0" w:right="0" w:hanging="0"/>
              <w:jc w:val="left"/>
              <w:rPr>
                <w:spacing w:val="-3"/>
              </w:rPr>
            </w:pPr>
            <w:r>
              <w:rPr>
                <w:spacing w:val="-3"/>
              </w:rPr>
              <w:t>​</w:t>
            </w:r>
          </w:p>
        </w:tc>
        <w:tc>
          <w:tcPr>
            <w:tcW w:w="2518" w:type="dxa"/>
            <w:tcBorders/>
            <w:vAlign w:val="center"/>
          </w:tcPr>
          <w:p>
            <w:pPr>
              <w:pStyle w:val="TableContents"/>
              <w:bidi w:val="0"/>
              <w:spacing w:before="0" w:after="0"/>
              <w:ind w:left="0" w:right="0" w:hanging="0"/>
              <w:jc w:val="left"/>
              <w:rPr>
                <w:spacing w:val="-3"/>
              </w:rPr>
            </w:pPr>
            <w:r>
              <w:rPr>
                <w:spacing w:val="-3"/>
              </w:rPr>
              <w:t>​</w:t>
            </w:r>
          </w:p>
        </w:tc>
      </w:tr>
      <w:tr>
        <w:trPr/>
        <w:tc>
          <w:tcPr>
            <w:tcW w:w="1807" w:type="dxa"/>
            <w:tcBorders/>
            <w:vAlign w:val="center"/>
          </w:tcPr>
          <w:p>
            <w:pPr>
              <w:pStyle w:val="TableContents"/>
              <w:bidi w:val="0"/>
              <w:spacing w:before="0" w:after="0"/>
              <w:ind w:left="0" w:right="0" w:hanging="0"/>
              <w:jc w:val="left"/>
              <w:rPr>
                <w:spacing w:val="-3"/>
              </w:rPr>
            </w:pPr>
            <w:r>
              <w:rPr>
                <w:spacing w:val="-3"/>
              </w:rPr>
              <w:t>​</w:t>
            </w:r>
          </w:p>
        </w:tc>
        <w:tc>
          <w:tcPr>
            <w:tcW w:w="2518" w:type="dxa"/>
            <w:tcBorders/>
            <w:vAlign w:val="center"/>
          </w:tcPr>
          <w:p>
            <w:pPr>
              <w:pStyle w:val="TableContents"/>
              <w:bidi w:val="0"/>
              <w:spacing w:before="0" w:after="0"/>
              <w:ind w:left="0" w:right="0" w:hanging="0"/>
              <w:jc w:val="left"/>
              <w:rPr>
                <w:spacing w:val="-3"/>
              </w:rPr>
            </w:pPr>
            <w:r>
              <w:rPr>
                <w:spacing w:val="-3"/>
              </w:rPr>
              <w:t>​</w:t>
            </w:r>
          </w:p>
        </w:tc>
      </w:tr>
      <w:tr>
        <w:trPr/>
        <w:tc>
          <w:tcPr>
            <w:tcW w:w="1807" w:type="dxa"/>
            <w:tcBorders/>
            <w:vAlign w:val="center"/>
          </w:tcPr>
          <w:p>
            <w:pPr>
              <w:pStyle w:val="TableContents"/>
              <w:bidi w:val="0"/>
              <w:spacing w:before="0" w:after="0"/>
              <w:ind w:left="0" w:right="0" w:hanging="0"/>
              <w:jc w:val="left"/>
              <w:rPr>
                <w:spacing w:val="-3"/>
              </w:rPr>
            </w:pPr>
            <w:r>
              <w:rPr>
                <w:spacing w:val="-3"/>
              </w:rPr>
              <w:t>​</w:t>
            </w:r>
          </w:p>
        </w:tc>
        <w:tc>
          <w:tcPr>
            <w:tcW w:w="2518" w:type="dxa"/>
            <w:tcBorders/>
            <w:vAlign w:val="center"/>
          </w:tcPr>
          <w:p>
            <w:pPr>
              <w:pStyle w:val="TableContents"/>
              <w:bidi w:val="0"/>
              <w:spacing w:before="0" w:after="0"/>
              <w:ind w:left="0" w:right="0" w:hanging="0"/>
              <w:jc w:val="left"/>
              <w:rPr>
                <w:spacing w:val="-3"/>
              </w:rPr>
            </w:pPr>
            <w:r>
              <w:rPr>
                <w:spacing w:val="-3"/>
              </w:rPr>
              <w:t>​</w:t>
            </w:r>
          </w:p>
        </w:tc>
      </w:tr>
      <w:tr>
        <w:trPr/>
        <w:tc>
          <w:tcPr>
            <w:tcW w:w="1807" w:type="dxa"/>
            <w:tcBorders/>
            <w:vAlign w:val="center"/>
          </w:tcPr>
          <w:p>
            <w:pPr>
              <w:pStyle w:val="TableContents"/>
              <w:bidi w:val="0"/>
              <w:spacing w:before="0" w:after="0"/>
              <w:ind w:left="0" w:right="0" w:hanging="0"/>
              <w:jc w:val="left"/>
              <w:rPr>
                <w:spacing w:val="-3"/>
              </w:rPr>
            </w:pPr>
            <w:r>
              <w:rPr>
                <w:spacing w:val="-3"/>
              </w:rPr>
              <w:t>​</w:t>
            </w:r>
          </w:p>
        </w:tc>
        <w:tc>
          <w:tcPr>
            <w:tcW w:w="251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val="false"/>
                <w:i w:val="false"/>
                <w:caps w:val="false"/>
                <w:smallCaps w:val="false"/>
                <w:spacing w:val="-3"/>
                <w:sz w:val="20"/>
              </w:rPr>
              <w:t>By:</w:t>
            </w:r>
            <w:r>
              <w:rPr>
                <w:rFonts w:ascii="Times New Roman;Times;serif" w:hAnsi="Times New Roman;Times;serif"/>
                <w:spacing w:val="-3"/>
                <w:sz w:val="20"/>
              </w:rPr>
              <w:t>/s/ Amy A. Samford</w:t>
            </w:r>
            <w:r>
              <w:rPr>
                <w:rFonts w:ascii="Times New Roman;Times;serif" w:hAnsi="Times New Roman;Times;serif"/>
                <w:spacing w:val="-3"/>
                <w:sz w:val="20"/>
                <w:u w:val="single"/>
              </w:rPr>
              <w:t>​ ​</w:t>
            </w:r>
          </w:p>
        </w:tc>
      </w:tr>
      <w:tr>
        <w:trPr/>
        <w:tc>
          <w:tcPr>
            <w:tcW w:w="1807"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Date: August 6, 2026</w:t>
            </w:r>
          </w:p>
        </w:tc>
        <w:tc>
          <w:tcPr>
            <w:tcW w:w="2518" w:type="dxa"/>
            <w:tcBorders/>
            <w:vAlign w:val="center"/>
          </w:tcPr>
          <w:p>
            <w:pPr>
              <w:pStyle w:val="TableContents"/>
              <w:bidi w:val="0"/>
              <w:spacing w:before="0" w:after="0"/>
              <w:ind w:left="522" w:right="0" w:hanging="0"/>
              <w:jc w:val="left"/>
              <w:rPr>
                <w:rFonts w:ascii="Times New Roman;Times;serif" w:hAnsi="Times New Roman;Times;serif"/>
                <w:i/>
                <w:spacing w:val="-3"/>
                <w:sz w:val="20"/>
              </w:rPr>
            </w:pPr>
            <w:r>
              <w:rPr>
                <w:rFonts w:ascii="Times New Roman;Times;serif" w:hAnsi="Times New Roman;Times;serif"/>
                <w:i/>
                <w:spacing w:val="-3"/>
                <w:sz w:val="20"/>
              </w:rPr>
              <w:t>Amy A. Samford</w:t>
            </w:r>
          </w:p>
          <w:p>
            <w:pPr>
              <w:pStyle w:val="TableContents"/>
              <w:bidi w:val="0"/>
              <w:spacing w:before="0" w:after="0"/>
              <w:ind w:left="522" w:right="0" w:hanging="0"/>
              <w:jc w:val="left"/>
              <w:rPr>
                <w:rFonts w:ascii="Times New Roman;Times;serif" w:hAnsi="Times New Roman;Times;serif"/>
                <w:i/>
                <w:spacing w:val="-3"/>
                <w:sz w:val="20"/>
              </w:rPr>
            </w:pPr>
            <w:r>
              <w:rPr>
                <w:rFonts w:ascii="Times New Roman;Times;serif" w:hAnsi="Times New Roman;Times;serif"/>
                <w:i/>
                <w:spacing w:val="-3"/>
                <w:sz w:val="20"/>
              </w:rPr>
              <w:t xml:space="preserve">Executive Vice President and </w:t>
            </w:r>
          </w:p>
          <w:p>
            <w:pPr>
              <w:pStyle w:val="TableContents"/>
              <w:bidi w:val="0"/>
              <w:spacing w:before="0" w:after="0"/>
              <w:ind w:left="522" w:right="0" w:hanging="0"/>
              <w:jc w:val="left"/>
              <w:rPr>
                <w:rFonts w:ascii="Times New Roman;Times;serif" w:hAnsi="Times New Roman;Times;serif"/>
                <w:i/>
                <w:spacing w:val="-3"/>
                <w:sz w:val="20"/>
              </w:rPr>
            </w:pPr>
            <w:r>
              <w:rPr>
                <w:rFonts w:ascii="Times New Roman;Times;serif" w:hAnsi="Times New Roman;Times;serif"/>
                <w:i/>
                <w:spacing w:val="-3"/>
                <w:sz w:val="20"/>
              </w:rPr>
              <w:t>Chief Financial Officer</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43" w:name="vhl-20260806xex99d1.htm"/>
      <w:bookmarkStart w:id="44" w:name="ksvhl20260806xex99d1"/>
      <w:bookmarkEnd w:id="43"/>
      <w:bookmarkEnd w:id="44"/>
      <w:r>
        <w:rPr>
          <w:rFonts w:ascii="Times New Roman;Times;serif" w:hAnsi="Times New Roman;Times;serif"/>
          <w:sz w:val="20"/>
          <w:shd w:fill="FFFFFF" w:val="clear"/>
        </w:rPr>
        <w:tab/>
      </w:r>
      <w:r>
        <w:rPr>
          <w:rFonts w:ascii="Times New Roman;Times;serif" w:hAnsi="Times New Roman;Times;serif"/>
          <w:sz w:val="20"/>
          <w:shd w:fill="FFFFFF" w:val="clear"/>
        </w:rPr>
        <w:tab/>
        <w:tab/>
      </w:r>
      <w:r>
        <w:rPr>
          <w:rFonts w:ascii="Times New Roman;Times;serif" w:hAnsi="Times New Roman;Times;serif"/>
          <w:sz w:val="20"/>
        </w:rPr>
        <w:t>​</w:t>
      </w:r>
      <w:r>
        <mc:AlternateContent>
          <mc:Choice Requires="wps">
            <w:drawing>
              <wp:anchor behindDoc="0" distT="0" distB="0" distL="0" distR="0" simplePos="0" locked="0" layoutInCell="1" allowOverlap="1" relativeHeight="4">
                <wp:simplePos x="0" y="0"/>
                <wp:positionH relativeFrom="page">
                  <wp:posOffset>0</wp:posOffset>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pPr>
      <w:r>
        <w:rPr/>
        <w:t>​</w:t>
      </w:r>
    </w:p>
    <w:p>
      <w:pPr>
        <w:pStyle w:val="TextBody"/>
        <w:bidi w:val="0"/>
        <w:spacing w:before="0" w:after="0"/>
        <w:ind w:left="0" w:right="0" w:hanging="0"/>
        <w:jc w:val="left"/>
        <w:rPr/>
      </w:pPr>
      <w:r>
        <w:rPr/>
        <w:drawing>
          <wp:inline distT="0" distB="0" distL="0" distR="0">
            <wp:extent cx="1762125" cy="4762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762125" cy="476250"/>
                    </a:xfrm>
                    <a:prstGeom prst="rect">
                      <a:avLst/>
                    </a:prstGeom>
                  </pic:spPr>
                </pic:pic>
              </a:graphicData>
            </a:graphic>
          </wp:inline>
        </w:drawing>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r>
        <mc:AlternateContent>
          <mc:Choice Requires="wps">
            <w:drawing>
              <wp:anchor behindDoc="0" distT="0" distB="0" distL="0" distR="0" simplePos="0" locked="0" layoutInCell="1" allowOverlap="1" relativeHeight="5">
                <wp:simplePos x="0" y="0"/>
                <wp:positionH relativeFrom="page">
                  <wp:posOffset>0</wp:posOffset>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144"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80"/>
        <w:ind w:left="0" w:right="0" w:hanging="0"/>
        <w:jc w:val="center"/>
        <w:rPr>
          <w:rFonts w:ascii="Times New Roman;Times;serif" w:hAnsi="Times New Roman;Times;serif"/>
          <w:b/>
          <w:sz w:val="24"/>
        </w:rPr>
      </w:pPr>
      <w:r>
        <w:rPr>
          <w:rFonts w:ascii="Times New Roman;Times;serif" w:hAnsi="Times New Roman;Times;serif"/>
          <w:b/>
          <w:sz w:val="24"/>
        </w:rPr>
        <w:t>VALHI REPORTS SECOND QUARTER 2026 RESULTS</w:t>
      </w:r>
    </w:p>
    <w:p>
      <w:pPr>
        <w:pStyle w:val="TextBody"/>
        <w:bidi w:val="0"/>
        <w:spacing w:before="0" w:after="240"/>
        <w:ind w:left="0" w:right="0" w:hanging="0"/>
        <w:jc w:val="center"/>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DALLAS, TEXAS . . August 6, 2026. Valhi, Inc. (NYSE: VHI) reported net income attributable to Valhi stockholders of $22.3 million, or $.78 per share, in the second quarter of 2026 compared to net income of $.9 million, or $.03 per share, in the second quarter of 2025. For the first six months of 2026, Valhi reported net income attributable to Valhi stockholders of $24.3 million, or $.85 per share, compared to $17.8 million, or $.62 per share, in the first six months of 2025. Net income attributable to Valhi stockholders increased in the second quarter of 2026 as compared to the same period of 2025 primarily due to higher operating results from the Chemicals Segment. Net income attributable to Valhi stockholders increased in the first six months of 2026 as compared to the same period of 2025 primarily due to improved operating results across all business segments.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Chemicals Segment’s net sales of $558.1 million in the second quarter of 2026 were $63.7 million, or 13%, higher than in the second quarter of 2025, and n</w:t>
      </w:r>
      <w:r>
        <w:rPr>
          <w:rFonts w:ascii="Times New Roman;Times;serif" w:hAnsi="Times New Roman;Times;serif"/>
          <w:sz w:val="20"/>
          <w:shd w:fill="FFFFFF" w:val="clear"/>
        </w:rPr>
        <w:t>et sales of $1.1 billion in the first six months of 2026 were $83.7 million, or 9%, higher than in the first six months of 2025.</w:t>
      </w:r>
      <w:r>
        <w:rPr>
          <w:rFonts w:ascii="Times New Roman;Times;serif" w:hAnsi="Times New Roman;Times;serif"/>
          <w:sz w:val="20"/>
        </w:rPr>
        <w:t xml:space="preserve"> The Chemicals Segment’s net sales increased in the second quarter and first six months of 2026 compared to the same periods of 2025 primarily due to market share gains across all markets and the favorable impact of changes in currency exchange rates (primarily the euro), which our Chemicals Segment estimates increased its net sales by approximately $10 million and $41 million, respectively. These favorable impacts were partially offset by lower average TiO</w:t>
      </w:r>
      <w:r>
        <w:rPr>
          <w:rFonts w:ascii="Times New Roman;Times;serif" w:hAnsi="Times New Roman;Times;serif"/>
          <w:sz w:val="15"/>
        </w:rPr>
        <w:t>2</w:t>
      </w:r>
      <w:r>
        <w:rPr>
          <w:rFonts w:ascii="Times New Roman;Times;serif" w:hAnsi="Times New Roman;Times;serif"/>
          <w:sz w:val="20"/>
        </w:rPr>
        <w:t xml:space="preserve"> selling prices and the unfavorable impact of both lower average selling prices and sales volumes within the Chemicals Segment’s complementary businesses. Our Chemicals Segment started 2026 with average TiO</w:t>
      </w:r>
      <w:r>
        <w:rPr>
          <w:rFonts w:ascii="Times New Roman;Times;serif" w:hAnsi="Times New Roman;Times;serif"/>
          <w:sz w:val="15"/>
        </w:rPr>
        <w:t>2</w:t>
      </w:r>
      <w:r>
        <w:rPr>
          <w:rFonts w:ascii="Times New Roman;Times;serif" w:hAnsi="Times New Roman;Times;serif"/>
          <w:sz w:val="20"/>
        </w:rPr>
        <w:t xml:space="preserve"> selling prices lower than at the beginning of 2025; however, its average TiO</w:t>
      </w:r>
      <w:r>
        <w:rPr>
          <w:rFonts w:ascii="Times New Roman;Times;serif" w:hAnsi="Times New Roman;Times;serif"/>
          <w:sz w:val="15"/>
        </w:rPr>
        <w:t xml:space="preserve">2 </w:t>
      </w:r>
      <w:r>
        <w:rPr>
          <w:rFonts w:ascii="Times New Roman;Times;serif" w:hAnsi="Times New Roman;Times;serif"/>
          <w:sz w:val="20"/>
        </w:rPr>
        <w:t xml:space="preserve">selling prices increased 4% during the first six months of 2026. During the second quarter of 2026, our Chemicals Segment announced and implemented various price increases and surcharges in response to higher operating costs. The table at the end of this press release shows how each of these items impacted the Chemicals Segment’s net sales.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Chemicals Segment’s operating income in the second quarter of 2026 was $40.4 million compared to $10.3 million in the second quarter of 2025. For the first six months of 2026, the Chemicals Segment’s operating income was $54.9 million compared to $51.5 million in the first six months of 2025. The Chemicals Segment’s operating income increased in both the second quarter and first six months of 2026 compared to the same periods of 2025 primarily due to higher sales volumes, lower production costs, including lower raw material costs (primarily feedstock) and lower unabsorbed fixed costs, as well as the benefits of the cost reduction initiatives implemented in the fourth quarter of 2025 designed to permanently improve our Chemicals Segment’s cost structure and operational efficiency. These favorable factors were partially offset by lower average TiO</w:t>
      </w:r>
      <w:r>
        <w:rPr>
          <w:rFonts w:ascii="Times New Roman;Times;serif" w:hAnsi="Times New Roman;Times;serif"/>
          <w:sz w:val="15"/>
        </w:rPr>
        <w:t>2</w:t>
      </w:r>
      <w:r>
        <w:rPr>
          <w:rFonts w:ascii="Times New Roman;Times;serif" w:hAnsi="Times New Roman;Times;serif"/>
          <w:sz w:val="20"/>
        </w:rPr>
        <w:t xml:space="preserve"> selling prices and the unfavorable impact of changes in currency exchange rates. Fluctuations in currency exchange rates (primarily the euro) decreased our Chemicals Segment’s operating income by approximately $12 million in the second quarter of 2026 and approximately $18 million in the first six months of 2026 compared to the same prior year periods.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Component Products Segment’s net sales were $43.6 million in the second quarter of 2026 compared to $40.3 million in the second quarter of 2025 and $84.2 million in the first six months of 2026 compared to $80.6 million in the same period of 2025. The Component Products Segment’s net sales increased in the second quarter and for the first six months of 2026 compared to the same periods in 2025 due to higher security products sales across a variety of markets including the healthcare, transportation, tool storage and distributor markets and higher marine components sales to the industrial market. Operating income attributable to the Component Products Segment was $8.9 million in the second quarter of 2026 compared to $6.3 million in the second quarter of 2025 and $16.0 million in the first six months of 2026 compared to $12.2 million for the same prior year period. The Component Products Segment’s operating income increased in the second quarter and for the first six months of 2026 compared to the same periods in 2025 due to higher sales and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 1 of 6</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ab/>
      </w:r>
      <w:r>
        <w:rPr>
          <w:rFonts w:ascii="Times New Roman;Times;serif" w:hAnsi="Times New Roman;Times;serif"/>
          <w:sz w:val="20"/>
        </w:rPr>
        <w:t>​</w:t>
      </w:r>
      <w:r>
        <mc:AlternateContent>
          <mc:Choice Requires="wps">
            <w:drawing>
              <wp:anchor behindDoc="0" distT="0" distB="0" distL="0" distR="0" simplePos="0" locked="0" layoutInCell="1" allowOverlap="1" relativeHeight="6">
                <wp:simplePos x="0" y="0"/>
                <wp:positionH relativeFrom="page">
                  <wp:posOffset>0</wp:posOffset>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gross margin predominantly at the security products reporting unit and, to a lesser extent, the marine components reporting unit.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The Real Estate Management and Development Segment had net sales of $4.4 million in the second quarter of 2026 compared to $5.7 million in the second quarter of 2025. For the first six months of 2026, the Real Estate Management and Development Segment had net sales of $14.1 million compared to $14.2 million in the same period of 2025. Land sales revenue is generally recognized over time based on cost inputs, and land sales revenues are dependent on spending for development activities. Net sales decreased in the second quarter of 2026 and first six months compared to the same periods in 2025 due to the slower pace of development activity for previously sold parcels within the residential/planned community as our Real Estate Management and Development Segment nears completion of its development work. This decrease in net sales for the first six months of 2026 was mostly offset by the first quarter sale of the final commercial parcel for $7.3 million, which had no further development obligations and was therefore immediately recognized as revenue. The pace of development activities is dictated by a number of factors such as city permit and design approval, approvals from the Nevada Department of Environmental Protection, and labor and materials availability. The Real Estate Management and Development Segment also recognized tax increment infrastructure reimbursements of $16.7 million ($8.7 million, or $.30 per share, net of income tax and noncontrolling interest) and $17.2 million ($8.9 million, or $.31 per share, net of income tax and noncontrolling interest) in the first six months of 2026 and 2025, respectively. Additionally, during the second quarter of 2026 the Real Estate Management and Development Segment sold the office building used in its operations and recognized a gain on the sale of approximately $5.8 million ($3.0 million, or $.10 per share, net of income tax and noncontrolling interest).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 xml:space="preserve">Corporate expenses were 2% lower in the second quarter of 2026 and 5% lower in first six months of 2026 compared to the same respective periods in 2025 primarily due to lower environmental remediation and related costs. Interest income and other increased $.3 million in the second quarter of 2026 primarily due to increased interest income received on the Real Estate Management and Development note receivable offset by decreased average investment balances and lower average interest rates. Interest income and other decreased $.5 million in the first six months of 2026 compared to the same period of 2025 primarily due to decreased average investment balances and lower average interest rates partially offset by increased interest income received on the Real Estate Management and Development note receivable. Interest expense increased $.9 million and $2.4 million in the second quarter and first six months of 2026, respectively, compared to the same periods in 2025 primarily due to higher overall debt levels and higher average interest rates.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net income attributable to Valhi stockholders in the first six months of 2026 includes an income tax expense of $2.0 million ($1.3 million, or $.04 per share, net of noncontrolling interest) related to the recognition of an uncertain tax position at our Chemicals Segment in connection with a German tax audit in the first quarter.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statements in this press release relating to matters that are not historical facts are forward-looking statements that represent management’s beliefs and assumptions based on currently available information. Although we believe the expectations reflected in such forward-looking statements are reasonable, we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we continue to face many risks and uncertainties. Among the factors that could cause our actual future results to differ materially include, but are not limited to, the following:</w:t>
      </w:r>
    </w:p>
    <w:tbl>
      <w:tblPr>
        <w:tblW w:w="3768" w:type="dxa"/>
        <w:jc w:val="left"/>
        <w:tblInd w:w="0" w:type="dxa"/>
        <w:tblLayout w:type="fixed"/>
        <w:tblCellMar>
          <w:top w:w="0" w:type="dxa"/>
          <w:left w:w="0" w:type="dxa"/>
          <w:bottom w:w="0" w:type="dxa"/>
          <w:right w:w="0" w:type="dxa"/>
        </w:tblCellMar>
      </w:tblPr>
      <w:tblGrid>
        <w:gridCol w:w="23"/>
        <w:gridCol w:w="170"/>
        <w:gridCol w:w="35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supply and demand for our products;</w:t>
            </w:r>
          </w:p>
        </w:tc>
      </w:tr>
    </w:tbl>
    <w:tbl>
      <w:tblPr>
        <w:tblW w:w="7113" w:type="dxa"/>
        <w:jc w:val="left"/>
        <w:tblInd w:w="0" w:type="dxa"/>
        <w:tblLayout w:type="fixed"/>
        <w:tblCellMar>
          <w:top w:w="0" w:type="dxa"/>
          <w:left w:w="0" w:type="dxa"/>
          <w:bottom w:w="0" w:type="dxa"/>
          <w:right w:w="0" w:type="dxa"/>
        </w:tblCellMar>
      </w:tblPr>
      <w:tblGrid>
        <w:gridCol w:w="23"/>
        <w:gridCol w:w="170"/>
        <w:gridCol w:w="69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realize expected cost savings from strategic and operational initiatives;</w:t>
            </w:r>
          </w:p>
        </w:tc>
      </w:tr>
    </w:tbl>
    <w:tbl>
      <w:tblPr>
        <w:tblW w:w="9018" w:type="dxa"/>
        <w:jc w:val="left"/>
        <w:tblInd w:w="0" w:type="dxa"/>
        <w:tblLayout w:type="fixed"/>
        <w:tblCellMar>
          <w:top w:w="0" w:type="dxa"/>
          <w:left w:w="0" w:type="dxa"/>
          <w:bottom w:w="0" w:type="dxa"/>
          <w:right w:w="0" w:type="dxa"/>
        </w:tblCellMar>
      </w:tblPr>
      <w:tblGrid>
        <w:gridCol w:w="23"/>
        <w:gridCol w:w="170"/>
        <w:gridCol w:w="88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integrate acquisitions into Kronos’ operations and realize expected synergies and innovations;</w:t>
            </w:r>
          </w:p>
        </w:tc>
      </w:tr>
    </w:tbl>
    <w:tbl>
      <w:tblPr>
        <w:tblW w:w="6963" w:type="dxa"/>
        <w:jc w:val="left"/>
        <w:tblInd w:w="0" w:type="dxa"/>
        <w:tblLayout w:type="fixed"/>
        <w:tblCellMar>
          <w:top w:w="0" w:type="dxa"/>
          <w:left w:w="0" w:type="dxa"/>
          <w:bottom w:w="0" w:type="dxa"/>
          <w:right w:w="0" w:type="dxa"/>
        </w:tblCellMar>
      </w:tblPr>
      <w:tblGrid>
        <w:gridCol w:w="23"/>
        <w:gridCol w:w="170"/>
        <w:gridCol w:w="67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of the dependence of certain of our businesses on certain market sectors;</w:t>
            </w:r>
          </w:p>
        </w:tc>
      </w:tr>
    </w:tbl>
    <w:tbl>
      <w:tblPr>
        <w:tblW w:w="6528" w:type="dxa"/>
        <w:jc w:val="left"/>
        <w:tblInd w:w="0" w:type="dxa"/>
        <w:tblLayout w:type="fixed"/>
        <w:tblCellMar>
          <w:top w:w="0" w:type="dxa"/>
          <w:left w:w="0" w:type="dxa"/>
          <w:bottom w:w="0" w:type="dxa"/>
          <w:right w:w="0" w:type="dxa"/>
        </w:tblCellMar>
      </w:tblPr>
      <w:tblGrid>
        <w:gridCol w:w="23"/>
        <w:gridCol w:w="170"/>
        <w:gridCol w:w="63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3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cyclicality of certain of our businesses (such as Kronos’ TiO</w:t>
            </w:r>
            <w:r>
              <w:rPr>
                <w:rFonts w:ascii="Times New Roman;Times;serif" w:hAnsi="Times New Roman;Times;serif"/>
                <w:b w:val="false"/>
                <w:i w:val="false"/>
                <w:caps w:val="false"/>
                <w:smallCaps w:val="false"/>
                <w:sz w:val="15"/>
              </w:rPr>
              <w:t>2</w:t>
            </w:r>
            <w:r>
              <w:rPr>
                <w:caps w:val="false"/>
                <w:smallCaps w:val="false"/>
              </w:rPr>
              <w:t xml:space="preserve"> </w:t>
            </w:r>
            <w:r>
              <w:rPr>
                <w:rFonts w:ascii="Times New Roman;Times;serif" w:hAnsi="Times New Roman;Times;serif"/>
                <w:b w:val="false"/>
                <w:i w:val="false"/>
                <w:caps w:val="false"/>
                <w:smallCaps w:val="false"/>
                <w:sz w:val="20"/>
              </w:rPr>
              <w:t>operations);</w:t>
            </w:r>
          </w:p>
        </w:tc>
      </w:tr>
    </w:tbl>
    <w:tbl>
      <w:tblPr>
        <w:tblW w:w="3528" w:type="dxa"/>
        <w:jc w:val="left"/>
        <w:tblInd w:w="0" w:type="dxa"/>
        <w:tblLayout w:type="fixed"/>
        <w:tblCellMar>
          <w:top w:w="0" w:type="dxa"/>
          <w:left w:w="0" w:type="dxa"/>
          <w:bottom w:w="0" w:type="dxa"/>
          <w:right w:w="0" w:type="dxa"/>
        </w:tblCellMar>
      </w:tblPr>
      <w:tblGrid>
        <w:gridCol w:w="23"/>
        <w:gridCol w:w="170"/>
        <w:gridCol w:w="33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and producer inventory levels;</w:t>
            </w:r>
          </w:p>
        </w:tc>
      </w:tr>
    </w:tbl>
    <w:tbl>
      <w:tblPr>
        <w:tblW w:w="7788" w:type="dxa"/>
        <w:jc w:val="left"/>
        <w:tblInd w:w="0" w:type="dxa"/>
        <w:tblLayout w:type="fixed"/>
        <w:tblCellMar>
          <w:top w:w="0" w:type="dxa"/>
          <w:left w:w="0" w:type="dxa"/>
          <w:bottom w:w="0" w:type="dxa"/>
          <w:right w:w="0" w:type="dxa"/>
        </w:tblCellMar>
      </w:tblPr>
      <w:tblGrid>
        <w:gridCol w:w="23"/>
        <w:gridCol w:w="170"/>
        <w:gridCol w:w="75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Unexpected or earlier-than-expected industry capacity expansion (such as the TiO</w:t>
            </w:r>
            <w:r>
              <w:rPr>
                <w:rFonts w:ascii="Times New Roman;Times;serif" w:hAnsi="Times New Roman;Times;serif"/>
                <w:b w:val="false"/>
                <w:i w:val="false"/>
                <w:caps w:val="false"/>
                <w:smallCaps w:val="false"/>
                <w:sz w:val="15"/>
              </w:rPr>
              <w:t>2</w:t>
            </w:r>
            <w:r>
              <w:rPr>
                <w:caps w:val="false"/>
                <w:smallCaps w:val="false"/>
              </w:rPr>
              <w:t xml:space="preserve"> </w:t>
            </w:r>
            <w:r>
              <w:rPr>
                <w:rFonts w:ascii="Times New Roman;Times;serif" w:hAnsi="Times New Roman;Times;serif"/>
                <w:b w:val="false"/>
                <w:i w:val="false"/>
                <w:caps w:val="false"/>
                <w:smallCaps w:val="false"/>
                <w:sz w:val="20"/>
              </w:rPr>
              <w:t>industry);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raw material and other operating costs (such as ore, zinc, brass, aluminum, steel and energy costs) or the implementation of tariffs on imported raw materials; </w:t>
            </w:r>
          </w:p>
        </w:tc>
      </w:tr>
    </w:tbl>
    <w:tbl>
      <w:tblPr>
        <w:tblW w:w="4848" w:type="dxa"/>
        <w:jc w:val="left"/>
        <w:tblInd w:w="0" w:type="dxa"/>
        <w:tblLayout w:type="fixed"/>
        <w:tblCellMar>
          <w:top w:w="0" w:type="dxa"/>
          <w:left w:w="0" w:type="dxa"/>
          <w:bottom w:w="0" w:type="dxa"/>
          <w:right w:w="0" w:type="dxa"/>
        </w:tblCellMar>
      </w:tblPr>
      <w:tblGrid>
        <w:gridCol w:w="23"/>
        <w:gridCol w:w="170"/>
        <w:gridCol w:w="46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availability of raw materials (such as ore);</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 2 of 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ab/>
      </w:r>
      <w:r>
        <w:rPr>
          <w:rFonts w:ascii="Times New Roman;Times;serif" w:hAnsi="Times New Roman;Times;serif"/>
          <w:sz w:val="20"/>
        </w:rPr>
        <w:t>​</w:t>
      </w:r>
      <w:r>
        <mc:AlternateContent>
          <mc:Choice Requires="wps">
            <w:drawing>
              <wp:anchor behindDoc="0" distT="0" distB="0" distL="0" distR="0" simplePos="0" locked="0" layoutInCell="1" allowOverlap="1" relativeHeight="7">
                <wp:simplePos x="0" y="0"/>
                <wp:positionH relativeFrom="page">
                  <wp:posOffset>0</wp:posOffset>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General global economic and political conditions that harm the worldwide economy, disrupt our supply chain, increase material and energy costs, reduce demand or perceived demand for TiO</w:t>
            </w:r>
            <w:r>
              <w:rPr>
                <w:rFonts w:ascii="Times New Roman;Times;serif" w:hAnsi="Times New Roman;Times;serif"/>
                <w:b w:val="false"/>
                <w:i w:val="false"/>
                <w:caps w:val="false"/>
                <w:smallCaps w:val="false"/>
                <w:sz w:val="15"/>
              </w:rPr>
              <w:t xml:space="preserve">2, </w:t>
            </w:r>
            <w:r>
              <w:rPr>
                <w:rFonts w:ascii="Times New Roman;Times;serif" w:hAnsi="Times New Roman;Times;serif"/>
                <w:b w:val="false"/>
                <w:i w:val="false"/>
                <w:caps w:val="false"/>
                <w:smallCaps w:val="false"/>
                <w:sz w:val="20"/>
              </w:rPr>
              <w:t>component products and land held for development or impair our ability to operate our facilities (including changes in the level of gross domestic product in various regions of the world, tariffs, natural disasters, terrorist acts, global conflicts and public health crises);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interruptions (including, but not limited to, labor disputes, leaks, natural disasters, fires, explosions, unscheduled or unplanned downtime, transportation interruptions, certain regional and world events or economic conditions and public health crises);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Technology related disruptions (including, but not limited to, cyber-attacks; software implementation, upgrades or improvements; technology processing failures; or other events) related to our technology infrastructure (including manufacturing and accounting systems) that could impact our ability to continue operations, or at key vendors which could impact our supply chain, or at key customers which could impact their operations and cause them to curtail or pause orders; </w:t>
            </w:r>
          </w:p>
        </w:tc>
      </w:tr>
    </w:tbl>
    <w:tbl>
      <w:tblPr>
        <w:tblW w:w="3978" w:type="dxa"/>
        <w:jc w:val="left"/>
        <w:tblInd w:w="0" w:type="dxa"/>
        <w:tblLayout w:type="fixed"/>
        <w:tblCellMar>
          <w:top w:w="0" w:type="dxa"/>
          <w:left w:w="0" w:type="dxa"/>
          <w:bottom w:w="0" w:type="dxa"/>
          <w:right w:w="0" w:type="dxa"/>
        </w:tblCellMar>
      </w:tblPr>
      <w:tblGrid>
        <w:gridCol w:w="23"/>
        <w:gridCol w:w="170"/>
        <w:gridCol w:w="37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products and substitute products;</w:t>
            </w:r>
          </w:p>
        </w:tc>
      </w:tr>
    </w:tbl>
    <w:tbl>
      <w:tblPr>
        <w:tblW w:w="9273" w:type="dxa"/>
        <w:jc w:val="left"/>
        <w:tblInd w:w="0" w:type="dxa"/>
        <w:tblLayout w:type="fixed"/>
        <w:tblCellMar>
          <w:top w:w="0" w:type="dxa"/>
          <w:left w:w="0" w:type="dxa"/>
          <w:bottom w:w="0" w:type="dxa"/>
          <w:right w:w="0" w:type="dxa"/>
        </w:tblCellMar>
      </w:tblPr>
      <w:tblGrid>
        <w:gridCol w:w="23"/>
        <w:gridCol w:w="170"/>
        <w:gridCol w:w="90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Chinese suppliers with less stringent regulatory and environmental compliance requirements;</w:t>
            </w:r>
          </w:p>
        </w:tc>
      </w:tr>
    </w:tbl>
    <w:tbl>
      <w:tblPr>
        <w:tblW w:w="3138" w:type="dxa"/>
        <w:jc w:val="left"/>
        <w:tblInd w:w="0" w:type="dxa"/>
        <w:tblLayout w:type="fixed"/>
        <w:tblCellMar>
          <w:top w:w="0" w:type="dxa"/>
          <w:left w:w="0" w:type="dxa"/>
          <w:bottom w:w="0" w:type="dxa"/>
          <w:right w:w="0" w:type="dxa"/>
        </w:tblCellMar>
      </w:tblPr>
      <w:tblGrid>
        <w:gridCol w:w="23"/>
        <w:gridCol w:w="170"/>
        <w:gridCol w:w="29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and competitor strategies;</w:t>
            </w:r>
          </w:p>
        </w:tc>
      </w:tr>
    </w:tbl>
    <w:tbl>
      <w:tblPr>
        <w:tblW w:w="3708" w:type="dxa"/>
        <w:jc w:val="left"/>
        <w:tblInd w:w="0" w:type="dxa"/>
        <w:tblLayout w:type="fixed"/>
        <w:tblCellMar>
          <w:top w:w="0" w:type="dxa"/>
          <w:left w:w="0" w:type="dxa"/>
          <w:bottom w:w="0" w:type="dxa"/>
          <w:right w:w="0" w:type="dxa"/>
        </w:tblCellMar>
      </w:tblPr>
      <w:tblGrid>
        <w:gridCol w:w="23"/>
        <w:gridCol w:w="170"/>
        <w:gridCol w:w="35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consolidation of our competitors;</w:t>
            </w:r>
          </w:p>
        </w:tc>
      </w:tr>
    </w:tbl>
    <w:tbl>
      <w:tblPr>
        <w:tblW w:w="3558" w:type="dxa"/>
        <w:jc w:val="left"/>
        <w:tblInd w:w="0" w:type="dxa"/>
        <w:tblLayout w:type="fixed"/>
        <w:tblCellMar>
          <w:top w:w="0" w:type="dxa"/>
          <w:left w:w="0" w:type="dxa"/>
          <w:bottom w:w="0" w:type="dxa"/>
          <w:right w:w="0" w:type="dxa"/>
        </w:tblCellMar>
      </w:tblPr>
      <w:tblGrid>
        <w:gridCol w:w="23"/>
        <w:gridCol w:w="170"/>
        <w:gridCol w:w="33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consolidation of our customers;</w:t>
            </w:r>
          </w:p>
        </w:tc>
      </w:tr>
    </w:tbl>
    <w:tbl>
      <w:tblPr>
        <w:tblW w:w="3078" w:type="dxa"/>
        <w:jc w:val="left"/>
        <w:tblInd w:w="0" w:type="dxa"/>
        <w:tblLayout w:type="fixed"/>
        <w:tblCellMar>
          <w:top w:w="0" w:type="dxa"/>
          <w:left w:w="0" w:type="dxa"/>
          <w:bottom w:w="0" w:type="dxa"/>
          <w:right w:w="0" w:type="dxa"/>
        </w:tblCellMar>
      </w:tblPr>
      <w:tblGrid>
        <w:gridCol w:w="23"/>
        <w:gridCol w:w="170"/>
        <w:gridCol w:w="28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key customers;</w:t>
            </w:r>
          </w:p>
        </w:tc>
      </w:tr>
    </w:tbl>
    <w:tbl>
      <w:tblPr>
        <w:tblW w:w="4128" w:type="dxa"/>
        <w:jc w:val="left"/>
        <w:tblInd w:w="0" w:type="dxa"/>
        <w:tblLayout w:type="fixed"/>
        <w:tblCellMar>
          <w:top w:w="0" w:type="dxa"/>
          <w:left w:w="0" w:type="dxa"/>
          <w:bottom w:w="0" w:type="dxa"/>
          <w:right w:w="0" w:type="dxa"/>
        </w:tblCellMar>
      </w:tblPr>
      <w:tblGrid>
        <w:gridCol w:w="23"/>
        <w:gridCol w:w="170"/>
        <w:gridCol w:w="39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pricing and production decisions;</w:t>
            </w:r>
          </w:p>
        </w:tc>
      </w:tr>
    </w:tbl>
    <w:tbl>
      <w:tblPr>
        <w:tblW w:w="3063" w:type="dxa"/>
        <w:jc w:val="left"/>
        <w:tblInd w:w="0" w:type="dxa"/>
        <w:tblLayout w:type="fixed"/>
        <w:tblCellMar>
          <w:top w:w="0" w:type="dxa"/>
          <w:left w:w="0" w:type="dxa"/>
          <w:bottom w:w="0" w:type="dxa"/>
          <w:right w:w="0" w:type="dxa"/>
        </w:tblCellMar>
      </w:tblPr>
      <w:tblGrid>
        <w:gridCol w:w="23"/>
        <w:gridCol w:w="170"/>
        <w:gridCol w:w="28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technology positions;</w:t>
            </w:r>
          </w:p>
        </w:tc>
      </w:tr>
    </w:tbl>
    <w:tbl>
      <w:tblPr>
        <w:tblW w:w="5013" w:type="dxa"/>
        <w:jc w:val="left"/>
        <w:tblInd w:w="0" w:type="dxa"/>
        <w:tblLayout w:type="fixed"/>
        <w:tblCellMar>
          <w:top w:w="0" w:type="dxa"/>
          <w:left w:w="0" w:type="dxa"/>
          <w:bottom w:w="0" w:type="dxa"/>
          <w:right w:w="0" w:type="dxa"/>
        </w:tblCellMar>
      </w:tblPr>
      <w:tblGrid>
        <w:gridCol w:w="23"/>
        <w:gridCol w:w="170"/>
        <w:gridCol w:w="48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or defend intellectual property rights;</w:t>
            </w:r>
          </w:p>
        </w:tc>
      </w:tr>
    </w:tbl>
    <w:tbl>
      <w:tblPr>
        <w:tblW w:w="7188" w:type="dxa"/>
        <w:jc w:val="left"/>
        <w:tblInd w:w="0" w:type="dxa"/>
        <w:tblLayout w:type="fixed"/>
        <w:tblCellMar>
          <w:top w:w="0" w:type="dxa"/>
          <w:left w:w="0" w:type="dxa"/>
          <w:bottom w:w="0" w:type="dxa"/>
          <w:right w:w="0" w:type="dxa"/>
        </w:tblCellMar>
      </w:tblPr>
      <w:tblGrid>
        <w:gridCol w:w="23"/>
        <w:gridCol w:w="170"/>
        <w:gridCol w:w="69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of new, or changes in existing, tariffs, trade barriers or trade disputes;</w:t>
            </w:r>
          </w:p>
        </w:tc>
      </w:tr>
    </w:tbl>
    <w:tbl>
      <w:tblPr>
        <w:tblW w:w="4338" w:type="dxa"/>
        <w:jc w:val="left"/>
        <w:tblInd w:w="0" w:type="dxa"/>
        <w:tblLayout w:type="fixed"/>
        <w:tblCellMar>
          <w:top w:w="0" w:type="dxa"/>
          <w:left w:w="0" w:type="dxa"/>
          <w:bottom w:w="0" w:type="dxa"/>
          <w:right w:w="0" w:type="dxa"/>
        </w:tblCellMar>
      </w:tblPr>
      <w:tblGrid>
        <w:gridCol w:w="23"/>
        <w:gridCol w:w="170"/>
        <w:gridCol w:w="41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subsidiaries to pay us dividends;</w:t>
            </w:r>
          </w:p>
        </w:tc>
      </w:tr>
    </w:tbl>
    <w:tbl>
      <w:tblPr>
        <w:tblW w:w="8493" w:type="dxa"/>
        <w:jc w:val="left"/>
        <w:tblInd w:w="0" w:type="dxa"/>
        <w:tblLayout w:type="fixed"/>
        <w:tblCellMar>
          <w:top w:w="0" w:type="dxa"/>
          <w:left w:w="0" w:type="dxa"/>
          <w:bottom w:w="0" w:type="dxa"/>
          <w:right w:w="0" w:type="dxa"/>
        </w:tblCellMar>
      </w:tblPr>
      <w:tblGrid>
        <w:gridCol w:w="23"/>
        <w:gridCol w:w="170"/>
        <w:gridCol w:w="83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associated with new product development and the development of new product features;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currency exchange rates (such as changes in the exchange rate between the U.S. dollar and each of the euro, the Norwegian krone and the Canadian dollar and between the euro and the Norwegian krone) or possible disruptions to our business resulting from uncertainties associated with the euro or other currencies;</w:t>
            </w:r>
          </w:p>
        </w:tc>
      </w:tr>
    </w:tbl>
    <w:tbl>
      <w:tblPr>
        <w:tblW w:w="6573" w:type="dxa"/>
        <w:jc w:val="left"/>
        <w:tblInd w:w="0" w:type="dxa"/>
        <w:tblLayout w:type="fixed"/>
        <w:tblCellMar>
          <w:top w:w="0" w:type="dxa"/>
          <w:left w:w="0" w:type="dxa"/>
          <w:bottom w:w="0" w:type="dxa"/>
          <w:right w:w="0" w:type="dxa"/>
        </w:tblCellMar>
      </w:tblPr>
      <w:tblGrid>
        <w:gridCol w:w="23"/>
        <w:gridCol w:w="170"/>
        <w:gridCol w:w="63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to sell operating assets other than in the ordinary course of business;</w:t>
            </w:r>
          </w:p>
        </w:tc>
      </w:tr>
    </w:tbl>
    <w:tbl>
      <w:tblPr>
        <w:tblW w:w="4158" w:type="dxa"/>
        <w:jc w:val="left"/>
        <w:tblInd w:w="0" w:type="dxa"/>
        <w:tblLayout w:type="fixed"/>
        <w:tblCellMar>
          <w:top w:w="0" w:type="dxa"/>
          <w:left w:w="0" w:type="dxa"/>
          <w:bottom w:w="0" w:type="dxa"/>
          <w:right w:w="0" w:type="dxa"/>
        </w:tblCellMar>
      </w:tblPr>
      <w:tblGrid>
        <w:gridCol w:w="23"/>
        <w:gridCol w:w="170"/>
        <w:gridCol w:w="39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amounts of insurance recoveries;</w:t>
            </w:r>
          </w:p>
        </w:tc>
      </w:tr>
    </w:tbl>
    <w:tbl>
      <w:tblPr>
        <w:tblW w:w="7263" w:type="dxa"/>
        <w:jc w:val="left"/>
        <w:tblInd w:w="0" w:type="dxa"/>
        <w:tblLayout w:type="fixed"/>
        <w:tblCellMar>
          <w:top w:w="0" w:type="dxa"/>
          <w:left w:w="0" w:type="dxa"/>
          <w:bottom w:w="0" w:type="dxa"/>
          <w:right w:w="0" w:type="dxa"/>
        </w:tblCellMar>
      </w:tblPr>
      <w:tblGrid>
        <w:gridCol w:w="23"/>
        <w:gridCol w:w="170"/>
        <w:gridCol w:w="70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renew or refinance credit facilities or other debt instruments in the future;</w:t>
            </w:r>
          </w:p>
        </w:tc>
      </w:tr>
    </w:tbl>
    <w:tbl>
      <w:tblPr>
        <w:tblW w:w="2253" w:type="dxa"/>
        <w:jc w:val="left"/>
        <w:tblInd w:w="0" w:type="dxa"/>
        <w:tblLayout w:type="fixed"/>
        <w:tblCellMar>
          <w:top w:w="0" w:type="dxa"/>
          <w:left w:w="0" w:type="dxa"/>
          <w:bottom w:w="0" w:type="dxa"/>
          <w:right w:w="0" w:type="dxa"/>
        </w:tblCellMar>
      </w:tblPr>
      <w:tblGrid>
        <w:gridCol w:w="23"/>
        <w:gridCol w:w="170"/>
        <w:gridCol w:w="20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interest rates;</w:t>
            </w:r>
          </w:p>
        </w:tc>
      </w:tr>
    </w:tbl>
    <w:tbl>
      <w:tblPr>
        <w:tblW w:w="3708" w:type="dxa"/>
        <w:jc w:val="left"/>
        <w:tblInd w:w="0" w:type="dxa"/>
        <w:tblLayout w:type="fixed"/>
        <w:tblCellMar>
          <w:top w:w="0" w:type="dxa"/>
          <w:left w:w="0" w:type="dxa"/>
          <w:bottom w:w="0" w:type="dxa"/>
          <w:right w:w="0" w:type="dxa"/>
        </w:tblCellMar>
      </w:tblPr>
      <w:tblGrid>
        <w:gridCol w:w="23"/>
        <w:gridCol w:w="170"/>
        <w:gridCol w:w="35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sufficient liquidity;</w:t>
            </w:r>
          </w:p>
        </w:tc>
      </w:tr>
    </w:tbl>
    <w:tbl>
      <w:tblPr>
        <w:tblW w:w="9738" w:type="dxa"/>
        <w:jc w:val="left"/>
        <w:tblInd w:w="0" w:type="dxa"/>
        <w:tblLayout w:type="fixed"/>
        <w:tblCellMar>
          <w:top w:w="0" w:type="dxa"/>
          <w:left w:w="0" w:type="dxa"/>
          <w:bottom w:w="0" w:type="dxa"/>
          <w:right w:w="0" w:type="dxa"/>
        </w:tblCellMar>
      </w:tblPr>
      <w:tblGrid>
        <w:gridCol w:w="23"/>
        <w:gridCol w:w="170"/>
        <w:gridCol w:w="95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outcome of income tax audits, tax settlement initiatives or other tax matters, including future tax reform;</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utilize income tax attributes, the benefits of which may or may not have been recognized under the more-likely-than-not recognition criteria;</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 (such as those requiring compliance with emission and discharge standards for existing and new facilities, or new developments regarding environmental remediation or decommissioning obligations at sites related to our former operations);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Government laws and regulations and possible changes therein (such as changes in government regulations which might impose various obligations on former manufacturers of lead pigment and lead-based paint, including NLI Holdings, with respect to asserted health concerns associated with the use of such products) </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 3 of 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ab/>
      </w:r>
      <w:r>
        <w:rPr>
          <w:rFonts w:ascii="Times New Roman;Times;serif" w:hAnsi="Times New Roman;Times;serif"/>
          <w:sz w:val="20"/>
        </w:rPr>
        <w:t>​</w:t>
      </w:r>
      <w:r>
        <mc:AlternateContent>
          <mc:Choice Requires="wps">
            <w:drawing>
              <wp:anchor behindDoc="0" distT="0" distB="0" distL="0" distR="0" simplePos="0" locked="0" layoutInCell="1" allowOverlap="1" relativeHeight="8">
                <wp:simplePos x="0" y="0"/>
                <wp:positionH relativeFrom="page">
                  <wp:posOffset>0</wp:posOffset>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including new environmental, sustainability, health and safety or other regulations (such as those seeking to limit or classify TiO</w:t>
            </w:r>
            <w:r>
              <w:rPr>
                <w:rFonts w:ascii="Times New Roman;Times;serif" w:hAnsi="Times New Roman;Times;serif"/>
                <w:b w:val="false"/>
                <w:i w:val="false"/>
                <w:caps w:val="false"/>
                <w:smallCaps w:val="false"/>
                <w:sz w:val="15"/>
              </w:rPr>
              <w:t xml:space="preserve">2 </w:t>
            </w:r>
            <w:r>
              <w:rPr>
                <w:rFonts w:ascii="Times New Roman;Times;serif" w:hAnsi="Times New Roman;Times;serif"/>
                <w:b w:val="false"/>
                <w:i w:val="false"/>
                <w:caps w:val="false"/>
                <w:smallCaps w:val="false"/>
                <w:sz w:val="20"/>
              </w:rPr>
              <w:t>or its use);</w:t>
            </w:r>
          </w:p>
        </w:tc>
      </w:tr>
    </w:tbl>
    <w:tbl>
      <w:tblPr>
        <w:tblW w:w="9198" w:type="dxa"/>
        <w:jc w:val="left"/>
        <w:tblInd w:w="0" w:type="dxa"/>
        <w:tblLayout w:type="fixed"/>
        <w:tblCellMar>
          <w:top w:w="0" w:type="dxa"/>
          <w:left w:w="0" w:type="dxa"/>
          <w:bottom w:w="0" w:type="dxa"/>
          <w:right w:w="0" w:type="dxa"/>
        </w:tblCellMar>
      </w:tblPr>
      <w:tblGrid>
        <w:gridCol w:w="23"/>
        <w:gridCol w:w="170"/>
        <w:gridCol w:w="90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resolution of pending litigation (such as NLI Holdings’ lead pigment and environmental matters);</w:t>
            </w:r>
          </w:p>
        </w:tc>
      </w:tr>
    </w:tbl>
    <w:tbl>
      <w:tblPr>
        <w:tblW w:w="7233" w:type="dxa"/>
        <w:jc w:val="left"/>
        <w:tblInd w:w="0" w:type="dxa"/>
        <w:tblLayout w:type="fixed"/>
        <w:tblCellMar>
          <w:top w:w="0" w:type="dxa"/>
          <w:left w:w="0" w:type="dxa"/>
          <w:bottom w:w="0" w:type="dxa"/>
          <w:right w:w="0" w:type="dxa"/>
        </w:tblCellMar>
      </w:tblPr>
      <w:tblGrid>
        <w:gridCol w:w="23"/>
        <w:gridCol w:w="170"/>
        <w:gridCol w:w="70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covenants contained in our revolving bank credit facilities;</w:t>
            </w:r>
          </w:p>
        </w:tc>
      </w:tr>
    </w:tbl>
    <w:tbl>
      <w:tblPr>
        <w:tblW w:w="6993" w:type="dxa"/>
        <w:jc w:val="left"/>
        <w:tblInd w:w="0" w:type="dxa"/>
        <w:tblLayout w:type="fixed"/>
        <w:tblCellMar>
          <w:top w:w="0" w:type="dxa"/>
          <w:left w:w="0" w:type="dxa"/>
          <w:bottom w:w="0" w:type="dxa"/>
          <w:right w:w="0" w:type="dxa"/>
        </w:tblCellMar>
      </w:tblPr>
      <w:tblGrid>
        <w:gridCol w:w="23"/>
        <w:gridCol w:w="170"/>
        <w:gridCol w:w="68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complete and comply with the conditions of our licenses and permits;</w:t>
            </w:r>
          </w:p>
        </w:tc>
      </w:tr>
    </w:tbl>
    <w:tbl>
      <w:tblPr>
        <w:tblW w:w="4878" w:type="dxa"/>
        <w:jc w:val="left"/>
        <w:tblInd w:w="0" w:type="dxa"/>
        <w:tblLayout w:type="fixed"/>
        <w:tblCellMar>
          <w:top w:w="0" w:type="dxa"/>
          <w:left w:w="0" w:type="dxa"/>
          <w:bottom w:w="0" w:type="dxa"/>
          <w:right w:w="0" w:type="dxa"/>
        </w:tblCellMar>
      </w:tblPr>
      <w:tblGrid>
        <w:gridCol w:w="23"/>
        <w:gridCol w:w="170"/>
        <w:gridCol w:w="46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construction costs in Henderson, Nevada;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or possible future litigation (such as litigation related to CompX’s use of certain permitted chemicals in its production process) or other actions.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Should one or more of these risks materialize (or the consequences of such development worsen), or should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Valhi, Inc. is engaged in the chemicals (TiO</w:t>
      </w:r>
      <w:r>
        <w:rPr>
          <w:rFonts w:ascii="Times New Roman;Times;serif" w:hAnsi="Times New Roman;Times;serif"/>
          <w:sz w:val="15"/>
        </w:rPr>
        <w:t>2</w:t>
      </w:r>
      <w:r>
        <w:rPr>
          <w:rFonts w:ascii="Times New Roman;Times;serif" w:hAnsi="Times New Roman;Times;serif"/>
          <w:sz w:val="20"/>
        </w:rPr>
        <w:t>), component products (security products and recreational marine components) and real estate management and development industries.</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Investor Relations Contact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Bryan A. Hanley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Treasurer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 972-233-1700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 4 of 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ab/>
      </w:r>
      <w:r>
        <w:rPr>
          <w:rFonts w:ascii="Times New Roman;Times;serif" w:hAnsi="Times New Roman;Times;serif"/>
          <w:sz w:val="20"/>
        </w:rPr>
        <w:t>​</w:t>
      </w:r>
      <w:r>
        <mc:AlternateContent>
          <mc:Choice Requires="wps">
            <w:drawing>
              <wp:anchor behindDoc="0" distT="0" distB="0" distL="0" distR="0" simplePos="0" locked="0" layoutInCell="1" allowOverlap="1" relativeHeight="9">
                <wp:simplePos x="0" y="0"/>
                <wp:positionH relativeFrom="page">
                  <wp:posOffset>0</wp:posOffset>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VALHI, INC. AND SUBSIDIARIES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CONDENSED SUMMARY OF INCOME</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 millions, except earnings per share)</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320"/>
        <w:gridCol w:w="346"/>
        <w:gridCol w:w="211"/>
        <w:gridCol w:w="584"/>
        <w:gridCol w:w="346"/>
        <w:gridCol w:w="211"/>
        <w:gridCol w:w="584"/>
        <w:gridCol w:w="346"/>
        <w:gridCol w:w="211"/>
        <w:gridCol w:w="721"/>
        <w:gridCol w:w="346"/>
        <w:gridCol w:w="211"/>
        <w:gridCol w:w="768"/>
      </w:tblGrid>
      <w:tr>
        <w:trPr/>
        <w:tc>
          <w:tcPr>
            <w:tcW w:w="5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378200" cy="175260"/>
                      <wp:effectExtent l="0" t="0" r="0" b="0"/>
                      <wp:wrapNone/>
                      <wp:docPr id="8" name="Frame7"/>
                      <a:graphic xmlns:a="http://schemas.openxmlformats.org/drawingml/2006/main">
                        <a:graphicData uri="http://schemas.microsoft.com/office/word/2010/wordprocessingShape">
                          <wps:wsp>
                            <wps:cNvSpPr txBox="1"/>
                            <wps:spPr>
                              <a:xfrm>
                                <a:off x="0" y="0"/>
                                <a:ext cx="3378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9"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0"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370840" cy="175260"/>
                      <wp:effectExtent l="0" t="0" r="0" b="0"/>
                      <wp:wrapNone/>
                      <wp:docPr id="11" name="Frame10"/>
                      <a:graphic xmlns:a="http://schemas.openxmlformats.org/drawingml/2006/main">
                        <a:graphicData uri="http://schemas.microsoft.com/office/word/2010/wordprocessingShape">
                          <wps:wsp>
                            <wps:cNvSpPr txBox="1"/>
                            <wps:spPr>
                              <a:xfrm>
                                <a:off x="0" y="0"/>
                                <a:ext cx="370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2"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3"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370840" cy="175260"/>
                      <wp:effectExtent l="0" t="0" r="0" b="0"/>
                      <wp:wrapNone/>
                      <wp:docPr id="14" name="Frame13"/>
                      <a:graphic xmlns:a="http://schemas.openxmlformats.org/drawingml/2006/main">
                        <a:graphicData uri="http://schemas.microsoft.com/office/word/2010/wordprocessingShape">
                          <wps:wsp>
                            <wps:cNvSpPr txBox="1"/>
                            <wps:spPr>
                              <a:xfrm>
                                <a:off x="0" y="0"/>
                                <a:ext cx="370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5"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6"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57835" cy="175260"/>
                      <wp:effectExtent l="0" t="0" r="0" b="0"/>
                      <wp:wrapNone/>
                      <wp:docPr id="17" name="Frame1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8"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19"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87680" cy="175260"/>
                      <wp:effectExtent l="0" t="0" r="0" b="0"/>
                      <wp:wrapNone/>
                      <wp:docPr id="20" name="Frame19"/>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32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36"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257"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532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3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w:t>
            </w:r>
          </w:p>
        </w:tc>
        <w:tc>
          <w:tcPr>
            <w:tcW w:w="346" w:type="dxa"/>
            <w:tcBorders/>
            <w:vAlign w:val="center"/>
          </w:tcPr>
          <w:p>
            <w:pPr>
              <w:pStyle w:val="TableContents"/>
              <w:bidi w:val="0"/>
              <w:spacing w:before="0" w:after="1"/>
              <w:ind w:left="0" w:right="0" w:hanging="0"/>
              <w:jc w:val="left"/>
              <w:rPr/>
            </w:pPr>
            <w:r>
              <w:rPr/>
              <w:t>​</w:t>
            </w:r>
          </w:p>
        </w:tc>
        <w:tc>
          <w:tcPr>
            <w:tcW w:w="225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w:t>
            </w:r>
          </w:p>
        </w:tc>
      </w:tr>
      <w:tr>
        <w:trPr/>
        <w:tc>
          <w:tcPr>
            <w:tcW w:w="532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7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97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532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8" w:type="dxa"/>
            <w:tcBorders/>
            <w:shd w:fill="CCEEFF" w:val="clear"/>
            <w:vAlign w:val="center"/>
          </w:tcPr>
          <w:p>
            <w:pPr>
              <w:pStyle w:val="TableContents"/>
              <w:bidi w:val="0"/>
              <w:spacing w:before="0" w:after="1"/>
              <w:ind w:left="0" w:right="0" w:hanging="0"/>
              <w:jc w:val="left"/>
              <w:rPr/>
            </w:pPr>
            <w:r>
              <w:rPr/>
              <w:t>​</w:t>
            </w:r>
          </w:p>
        </w:tc>
      </w:tr>
      <w:tr>
        <w:trPr/>
        <w:tc>
          <w:tcPr>
            <w:tcW w:w="53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Chemicals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8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558.1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1,067.9</w:t>
            </w:r>
          </w:p>
        </w:tc>
      </w:tr>
      <w:tr>
        <w:trPr/>
        <w:tc>
          <w:tcPr>
            <w:tcW w:w="5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Component products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84.2</w:t>
            </w:r>
          </w:p>
        </w:tc>
      </w:tr>
      <w:tr>
        <w:trPr/>
        <w:tc>
          <w:tcPr>
            <w:tcW w:w="53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management and development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14.1</w:t>
            </w:r>
          </w:p>
        </w:tc>
      </w:tr>
      <w:tr>
        <w:trPr/>
        <w:tc>
          <w:tcPr>
            <w:tcW w:w="532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8" w:type="dxa"/>
            <w:tcBorders/>
            <w:shd w:fill="CCEEFF" w:val="clear"/>
            <w:vAlign w:val="center"/>
          </w:tcPr>
          <w:p>
            <w:pPr>
              <w:pStyle w:val="TableContents"/>
              <w:bidi w:val="0"/>
              <w:spacing w:before="0" w:after="1"/>
              <w:ind w:left="0" w:right="0" w:hanging="0"/>
              <w:jc w:val="right"/>
              <w:rPr/>
            </w:pPr>
            <w:r>
              <w:rPr/>
              <w:t>​</w:t>
            </w:r>
          </w:p>
        </w:tc>
      </w:tr>
      <w:tr>
        <w:trPr/>
        <w:tc>
          <w:tcPr>
            <w:tcW w:w="5320"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Total net sales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606.1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1,079.0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1,166.2</w:t>
            </w:r>
          </w:p>
        </w:tc>
      </w:tr>
      <w:tr>
        <w:trPr/>
        <w:tc>
          <w:tcPr>
            <w:tcW w:w="532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8" w:type="dxa"/>
            <w:tcBorders/>
            <w:shd w:fill="CCEEFF" w:val="clear"/>
            <w:vAlign w:val="center"/>
          </w:tcPr>
          <w:p>
            <w:pPr>
              <w:pStyle w:val="TableContents"/>
              <w:bidi w:val="0"/>
              <w:spacing w:before="0" w:after="1"/>
              <w:ind w:left="0" w:right="0" w:hanging="0"/>
              <w:jc w:val="right"/>
              <w:rPr/>
            </w:pPr>
            <w:r>
              <w:rPr/>
              <w:t>​</w:t>
            </w:r>
          </w:p>
        </w:tc>
      </w:tr>
      <w:tr>
        <w:trPr/>
        <w:tc>
          <w:tcPr>
            <w:tcW w:w="532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Operating income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8" w:type="dxa"/>
            <w:tcBorders/>
            <w:vAlign w:val="center"/>
          </w:tcPr>
          <w:p>
            <w:pPr>
              <w:pStyle w:val="TableContents"/>
              <w:bidi w:val="0"/>
              <w:spacing w:before="0" w:after="1"/>
              <w:ind w:left="0" w:right="0" w:hanging="0"/>
              <w:jc w:val="right"/>
              <w:rPr/>
            </w:pPr>
            <w:r>
              <w:rPr/>
              <w:t>  ​</w:t>
            </w:r>
          </w:p>
        </w:tc>
      </w:tr>
      <w:tr>
        <w:trPr/>
        <w:tc>
          <w:tcPr>
            <w:tcW w:w="5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Chemicals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8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54.9</w:t>
            </w:r>
          </w:p>
        </w:tc>
      </w:tr>
      <w:tr>
        <w:trPr/>
        <w:tc>
          <w:tcPr>
            <w:tcW w:w="53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Component products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16.0</w:t>
            </w:r>
          </w:p>
        </w:tc>
      </w:tr>
      <w:tr>
        <w:trPr/>
        <w:tc>
          <w:tcPr>
            <w:tcW w:w="5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management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29.7</w:t>
            </w:r>
          </w:p>
        </w:tc>
      </w:tr>
      <w:tr>
        <w:trPr/>
        <w:tc>
          <w:tcPr>
            <w:tcW w:w="532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8" w:type="dxa"/>
            <w:tcBorders/>
            <w:vAlign w:val="center"/>
          </w:tcPr>
          <w:p>
            <w:pPr>
              <w:pStyle w:val="TableContents"/>
              <w:bidi w:val="0"/>
              <w:spacing w:before="0" w:after="1"/>
              <w:ind w:left="0" w:right="0" w:hanging="0"/>
              <w:jc w:val="right"/>
              <w:rPr/>
            </w:pPr>
            <w:r>
              <w:rPr/>
              <w:t>​</w:t>
            </w:r>
          </w:p>
        </w:tc>
      </w:tr>
      <w:tr>
        <w:trPr/>
        <w:tc>
          <w:tcPr>
            <w:tcW w:w="5320"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 xml:space="preserve">Total operating income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100.6</w:t>
            </w:r>
          </w:p>
        </w:tc>
      </w:tr>
      <w:tr>
        <w:trPr/>
        <w:tc>
          <w:tcPr>
            <w:tcW w:w="532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8" w:type="dxa"/>
            <w:tcBorders/>
            <w:vAlign w:val="center"/>
          </w:tcPr>
          <w:p>
            <w:pPr>
              <w:pStyle w:val="TableContents"/>
              <w:bidi w:val="0"/>
              <w:spacing w:before="0" w:after="1"/>
              <w:ind w:left="0" w:right="0" w:hanging="0"/>
              <w:jc w:val="right"/>
              <w:rPr/>
            </w:pPr>
            <w:r>
              <w:rPr/>
              <w:t>​</w:t>
            </w:r>
          </w:p>
        </w:tc>
      </w:tr>
      <w:tr>
        <w:trPr/>
        <w:tc>
          <w:tcPr>
            <w:tcW w:w="5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corporate items: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8" w:type="dxa"/>
            <w:tcBorders/>
            <w:shd w:fill="CCEEFF" w:val="clear"/>
            <w:vAlign w:val="center"/>
          </w:tcPr>
          <w:p>
            <w:pPr>
              <w:pStyle w:val="TableContents"/>
              <w:bidi w:val="0"/>
              <w:spacing w:before="0" w:after="1"/>
              <w:ind w:left="0" w:right="0" w:hanging="0"/>
              <w:jc w:val="right"/>
              <w:rPr/>
            </w:pPr>
            <w:r>
              <w:rPr/>
              <w:t>  ​</w:t>
            </w:r>
          </w:p>
        </w:tc>
      </w:tr>
      <w:tr>
        <w:trPr/>
        <w:tc>
          <w:tcPr>
            <w:tcW w:w="53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and other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7.5</w:t>
            </w:r>
          </w:p>
        </w:tc>
      </w:tr>
      <w:tr>
        <w:trPr/>
        <w:tc>
          <w:tcPr>
            <w:tcW w:w="5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components of net periodic pension and OPEB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w:t>
            </w:r>
          </w:p>
        </w:tc>
      </w:tr>
      <w:tr>
        <w:trPr/>
        <w:tc>
          <w:tcPr>
            <w:tcW w:w="53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market value of Valhi common stock held by subsidiaries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w:t>
            </w:r>
          </w:p>
        </w:tc>
      </w:tr>
      <w:tr>
        <w:trPr/>
        <w:tc>
          <w:tcPr>
            <w:tcW w:w="5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expenses,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(16.3)</w:t>
            </w:r>
          </w:p>
        </w:tc>
      </w:tr>
      <w:tr>
        <w:trPr/>
        <w:tc>
          <w:tcPr>
            <w:tcW w:w="53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(29.4)</w:t>
            </w:r>
          </w:p>
        </w:tc>
      </w:tr>
      <w:tr>
        <w:trPr/>
        <w:tc>
          <w:tcPr>
            <w:tcW w:w="532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8" w:type="dxa"/>
            <w:tcBorders/>
            <w:shd w:fill="CCEEFF" w:val="clear"/>
            <w:vAlign w:val="center"/>
          </w:tcPr>
          <w:p>
            <w:pPr>
              <w:pStyle w:val="TableContents"/>
              <w:bidi w:val="0"/>
              <w:spacing w:before="0" w:after="1"/>
              <w:ind w:left="0" w:right="0" w:hanging="0"/>
              <w:jc w:val="right"/>
              <w:rPr/>
            </w:pPr>
            <w:r>
              <w:rPr/>
              <w:t>​</w:t>
            </w:r>
          </w:p>
        </w:tc>
      </w:tr>
      <w:tr>
        <w:trPr/>
        <w:tc>
          <w:tcPr>
            <w:tcW w:w="5320"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Income before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61.4</w:t>
            </w:r>
          </w:p>
        </w:tc>
      </w:tr>
      <w:tr>
        <w:trPr/>
        <w:tc>
          <w:tcPr>
            <w:tcW w:w="532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8" w:type="dxa"/>
            <w:tcBorders/>
            <w:shd w:fill="CCEEFF" w:val="clear"/>
            <w:vAlign w:val="center"/>
          </w:tcPr>
          <w:p>
            <w:pPr>
              <w:pStyle w:val="TableContents"/>
              <w:bidi w:val="0"/>
              <w:spacing w:before="0" w:after="1"/>
              <w:ind w:left="0" w:right="0" w:hanging="0"/>
              <w:jc w:val="right"/>
              <w:rPr/>
            </w:pPr>
            <w:r>
              <w:rPr/>
              <w:t>​</w:t>
            </w:r>
          </w:p>
        </w:tc>
      </w:tr>
      <w:tr>
        <w:trPr/>
        <w:tc>
          <w:tcPr>
            <w:tcW w:w="53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Income tax expense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18.1</w:t>
            </w:r>
          </w:p>
        </w:tc>
      </w:tr>
      <w:tr>
        <w:trPr/>
        <w:tc>
          <w:tcPr>
            <w:tcW w:w="532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8" w:type="dxa"/>
            <w:tcBorders/>
            <w:shd w:fill="CCEEFF" w:val="clear"/>
            <w:vAlign w:val="center"/>
          </w:tcPr>
          <w:p>
            <w:pPr>
              <w:pStyle w:val="TableContents"/>
              <w:bidi w:val="0"/>
              <w:spacing w:before="0" w:after="1"/>
              <w:ind w:left="0" w:right="0" w:hanging="0"/>
              <w:jc w:val="right"/>
              <w:rPr/>
            </w:pPr>
            <w:r>
              <w:rPr/>
              <w:t>​</w:t>
            </w:r>
          </w:p>
        </w:tc>
      </w:tr>
      <w:tr>
        <w:trPr/>
        <w:tc>
          <w:tcPr>
            <w:tcW w:w="5320"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Net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43.3</w:t>
            </w:r>
          </w:p>
        </w:tc>
      </w:tr>
      <w:tr>
        <w:trPr/>
        <w:tc>
          <w:tcPr>
            <w:tcW w:w="532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8" w:type="dxa"/>
            <w:tcBorders/>
            <w:shd w:fill="CCEEFF" w:val="clear"/>
            <w:vAlign w:val="center"/>
          </w:tcPr>
          <w:p>
            <w:pPr>
              <w:pStyle w:val="TableContents"/>
              <w:bidi w:val="0"/>
              <w:spacing w:before="0" w:after="1"/>
              <w:ind w:left="0" w:right="0" w:hanging="0"/>
              <w:jc w:val="right"/>
              <w:rPr/>
            </w:pPr>
            <w:r>
              <w:rPr/>
              <w:t>​</w:t>
            </w:r>
          </w:p>
        </w:tc>
      </w:tr>
      <w:tr>
        <w:trPr/>
        <w:tc>
          <w:tcPr>
            <w:tcW w:w="53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Noncontrolling interest in net income of subsidiaries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19.0</w:t>
            </w:r>
          </w:p>
        </w:tc>
      </w:tr>
      <w:tr>
        <w:trPr/>
        <w:tc>
          <w:tcPr>
            <w:tcW w:w="532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8" w:type="dxa"/>
            <w:tcBorders/>
            <w:shd w:fill="CCEEFF" w:val="clear"/>
            <w:vAlign w:val="center"/>
          </w:tcPr>
          <w:p>
            <w:pPr>
              <w:pStyle w:val="TableContents"/>
              <w:bidi w:val="0"/>
              <w:spacing w:before="0" w:after="1"/>
              <w:ind w:left="0" w:right="0" w:hanging="0"/>
              <w:jc w:val="right"/>
              <w:rPr/>
            </w:pPr>
            <w:r>
              <w:rPr/>
              <w:t>​</w:t>
            </w:r>
          </w:p>
        </w:tc>
      </w:tr>
      <w:tr>
        <w:trPr/>
        <w:tc>
          <w:tcPr>
            <w:tcW w:w="5320"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Net income attributable to Valhi stockholders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24.3</w:t>
            </w:r>
          </w:p>
        </w:tc>
      </w:tr>
      <w:tr>
        <w:trPr/>
        <w:tc>
          <w:tcPr>
            <w:tcW w:w="532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8" w:type="dxa"/>
            <w:tcBorders/>
            <w:shd w:fill="CCEEFF" w:val="clear"/>
            <w:vAlign w:val="center"/>
          </w:tcPr>
          <w:p>
            <w:pPr>
              <w:pStyle w:val="TableContents"/>
              <w:bidi w:val="0"/>
              <w:spacing w:before="0" w:after="1"/>
              <w:ind w:left="0" w:right="0" w:hanging="0"/>
              <w:jc w:val="right"/>
              <w:rPr/>
            </w:pPr>
            <w:r>
              <w:rPr/>
              <w:t>​</w:t>
            </w:r>
          </w:p>
        </w:tc>
      </w:tr>
      <w:tr>
        <w:trPr/>
        <w:tc>
          <w:tcPr>
            <w:tcW w:w="53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attributable to Valhi stockholders: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8" w:type="dxa"/>
            <w:tcBorders/>
            <w:vAlign w:val="center"/>
          </w:tcPr>
          <w:p>
            <w:pPr>
              <w:pStyle w:val="TableContents"/>
              <w:bidi w:val="0"/>
              <w:spacing w:before="0" w:after="1"/>
              <w:ind w:left="0" w:right="0" w:hanging="0"/>
              <w:jc w:val="right"/>
              <w:rPr/>
            </w:pPr>
            <w:r>
              <w:rPr/>
              <w:t>  ​</w:t>
            </w:r>
          </w:p>
        </w:tc>
      </w:tr>
      <w:tr>
        <w:trPr/>
        <w:tc>
          <w:tcPr>
            <w:tcW w:w="5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net income per share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.03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8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 xml:space="preserve">.78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.62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 xml:space="preserve">.85 </w:t>
            </w:r>
          </w:p>
        </w:tc>
      </w:tr>
      <w:tr>
        <w:trPr/>
        <w:tc>
          <w:tcPr>
            <w:tcW w:w="532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8" w:type="dxa"/>
            <w:tcBorders/>
            <w:vAlign w:val="center"/>
          </w:tcPr>
          <w:p>
            <w:pPr>
              <w:pStyle w:val="TableContents"/>
              <w:bidi w:val="0"/>
              <w:spacing w:before="0" w:after="1"/>
              <w:ind w:left="0" w:right="0" w:hanging="0"/>
              <w:jc w:val="left"/>
              <w:rPr/>
            </w:pPr>
            <w:r>
              <w:rPr/>
              <w:t>​</w:t>
            </w:r>
          </w:p>
        </w:tc>
      </w:tr>
      <w:tr>
        <w:trPr/>
        <w:tc>
          <w:tcPr>
            <w:tcW w:w="5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weighted average shares outstanding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8" w:type="dxa"/>
            <w:tcBorders/>
            <w:shd w:fill="CCEEFF" w:val="cle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28.5</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 5 of 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ab/>
      </w:r>
      <w:r>
        <w:rPr>
          <w:rFonts w:ascii="Times New Roman;Times;serif" w:hAnsi="Times New Roman;Times;serif"/>
          <w:sz w:val="20"/>
        </w:rPr>
        <w:t>​</w:t>
      </w:r>
      <w:r>
        <mc:AlternateContent>
          <mc:Choice Requires="wps">
            <w:drawing>
              <wp:anchor behindDoc="0" distT="0" distB="0" distL="0" distR="0" simplePos="0" locked="0" layoutInCell="1" allowOverlap="1" relativeHeight="23">
                <wp:simplePos x="0" y="0"/>
                <wp:positionH relativeFrom="page">
                  <wp:posOffset>0</wp:posOffset>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VALHI, INC. AND SUBSIDIARIES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IMPACT OF PERCENTAGE CHANGE IN CHEMICAL SEGMENT'S NET SALES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tbl>
      <w:tblPr>
        <w:tblW w:w="7327" w:type="dxa"/>
        <w:jc w:val="left"/>
        <w:tblInd w:w="0" w:type="dxa"/>
        <w:tblLayout w:type="fixed"/>
        <w:tblCellMar>
          <w:top w:w="0" w:type="dxa"/>
          <w:left w:w="0" w:type="dxa"/>
          <w:bottom w:w="0" w:type="dxa"/>
          <w:right w:w="0" w:type="dxa"/>
        </w:tblCellMar>
      </w:tblPr>
      <w:tblGrid>
        <w:gridCol w:w="3076"/>
        <w:gridCol w:w="109"/>
        <w:gridCol w:w="1816"/>
        <w:gridCol w:w="361"/>
        <w:gridCol w:w="346"/>
        <w:gridCol w:w="208"/>
        <w:gridCol w:w="634"/>
        <w:gridCol w:w="777"/>
      </w:tblGrid>
      <w:tr>
        <w:trPr/>
        <w:tc>
          <w:tcPr>
            <w:tcW w:w="3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634"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left"/>
              <w:rPr/>
            </w:pPr>
            <w:r>
              <w:rPr/>
              <w:t>​</w:t>
            </w:r>
          </w:p>
        </w:tc>
      </w:tr>
      <w:tr>
        <w:trPr/>
        <w:tc>
          <w:tcPr>
            <w:tcW w:w="3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3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619"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3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w:t>
            </w:r>
          </w:p>
        </w:tc>
        <w:tc>
          <w:tcPr>
            <w:tcW w:w="3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141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w:t>
            </w:r>
          </w:p>
        </w:tc>
      </w:tr>
      <w:tr>
        <w:trPr/>
        <w:tc>
          <w:tcPr>
            <w:tcW w:w="3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 vs. 2025</w:t>
            </w:r>
          </w:p>
        </w:tc>
        <w:tc>
          <w:tcPr>
            <w:tcW w:w="3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14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 vs. 2025</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Percentage change in TiO</w:t>
            </w:r>
            <w:r>
              <w:rPr>
                <w:rFonts w:ascii="Times New Roman;Times;serif" w:hAnsi="Times New Roman;Times;serif"/>
                <w:sz w:val="15"/>
              </w:rPr>
              <w:t>2</w:t>
            </w:r>
            <w:r>
              <w:rPr>
                <w:rFonts w:ascii="Times New Roman;Times;serif" w:hAnsi="Times New Roman;Times;serif"/>
                <w:sz w:val="20"/>
              </w:rPr>
              <w:t xml:space="preserve"> net sales:</w:t>
            </w:r>
          </w:p>
        </w:tc>
        <w:tc>
          <w:tcPr>
            <w:tcW w:w="109" w:type="dxa"/>
            <w:tcBorders/>
            <w:shd w:fill="CCEEFF" w:val="clear"/>
            <w:vAlign w:val="center"/>
          </w:tcPr>
          <w:p>
            <w:pPr>
              <w:pStyle w:val="TableContents"/>
              <w:bidi w:val="0"/>
              <w:spacing w:before="0" w:after="0"/>
              <w:ind w:left="0" w:right="0" w:hanging="0"/>
              <w:jc w:val="left"/>
              <w:rPr/>
            </w:pPr>
            <w:r>
              <w:rPr/>
              <w:t>​</w:t>
            </w:r>
          </w:p>
        </w:tc>
        <w:tc>
          <w:tcPr>
            <w:tcW w:w="181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634" w:type="dxa"/>
            <w:tcBorders/>
            <w:shd w:fill="CCEEFF" w:val="clear"/>
            <w:vAlign w:val="center"/>
          </w:tcPr>
          <w:p>
            <w:pPr>
              <w:pStyle w:val="TableContents"/>
              <w:bidi w:val="0"/>
              <w:spacing w:before="0" w:after="0"/>
              <w:ind w:left="0" w:right="0" w:hanging="0"/>
              <w:jc w:val="right"/>
              <w:rPr/>
            </w:pPr>
            <w:r>
              <w:rPr/>
              <w:t>  ​</w:t>
            </w:r>
          </w:p>
        </w:tc>
        <w:tc>
          <w:tcPr>
            <w:tcW w:w="777" w:type="dxa"/>
            <w:tcBorders/>
            <w:shd w:fill="CCEEFF" w:val="clear"/>
            <w:vAlign w:val="center"/>
          </w:tcPr>
          <w:p>
            <w:pPr>
              <w:pStyle w:val="TableContents"/>
              <w:bidi w:val="0"/>
              <w:spacing w:before="0" w:after="0"/>
              <w:ind w:left="0" w:right="0" w:hanging="0"/>
              <w:jc w:val="left"/>
              <w:rPr/>
            </w:pPr>
            <w:r>
              <w:rPr/>
              <w:t>​</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2</w:t>
            </w:r>
            <w:r>
              <w:rPr>
                <w:rFonts w:ascii="Times New Roman;Times;serif" w:hAnsi="Times New Roman;Times;serif"/>
                <w:sz w:val="20"/>
              </w:rPr>
              <w:t xml:space="preserve"> sales volumes</w:t>
            </w:r>
          </w:p>
        </w:tc>
        <w:tc>
          <w:tcPr>
            <w:tcW w:w="109"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6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7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2</w:t>
            </w:r>
            <w:r>
              <w:rPr>
                <w:rFonts w:ascii="Times New Roman;Times;serif" w:hAnsi="Times New Roman;Times;serif"/>
                <w:sz w:val="20"/>
              </w:rPr>
              <w:t xml:space="preserve"> product pricing</w:t>
            </w:r>
          </w:p>
        </w:tc>
        <w:tc>
          <w:tcPr>
            <w:tcW w:w="109" w:type="dxa"/>
            <w:tcBorders/>
            <w:shd w:fill="CCEEFF" w:val="clear"/>
            <w:vAlign w:val="center"/>
          </w:tcPr>
          <w:p>
            <w:pPr>
              <w:pStyle w:val="TableContents"/>
              <w:bidi w:val="0"/>
              <w:spacing w:before="0" w:after="0"/>
              <w:ind w:left="0" w:right="0" w:hanging="0"/>
              <w:jc w:val="left"/>
              <w:rPr/>
            </w:pPr>
            <w:r>
              <w:rPr/>
              <w:t>​</w:t>
            </w:r>
          </w:p>
        </w:tc>
        <w:tc>
          <w:tcPr>
            <w:tcW w:w="1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777" w:type="dxa"/>
            <w:tcBorders/>
            <w:shd w:fill="CCEEFF" w:val="clear"/>
            <w:vAlign w:val="center"/>
          </w:tcPr>
          <w:p>
            <w:pPr>
              <w:pStyle w:val="TableContents"/>
              <w:bidi w:val="0"/>
              <w:spacing w:before="0" w:after="0"/>
              <w:ind w:left="0" w:right="0" w:hanging="0"/>
              <w:jc w:val="left"/>
              <w:rPr/>
            </w:pPr>
            <w:r>
              <w:rPr/>
              <w:t>​</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2</w:t>
            </w:r>
            <w:r>
              <w:rPr>
                <w:rFonts w:ascii="Times New Roman;Times;serif" w:hAnsi="Times New Roman;Times;serif"/>
                <w:sz w:val="20"/>
              </w:rPr>
              <w:t xml:space="preserve"> product mix/other</w:t>
            </w:r>
          </w:p>
        </w:tc>
        <w:tc>
          <w:tcPr>
            <w:tcW w:w="109"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6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777" w:type="dxa"/>
            <w:tcBorders/>
            <w:vAlign w:val="center"/>
          </w:tcPr>
          <w:p>
            <w:pPr>
              <w:pStyle w:val="TableContents"/>
              <w:bidi w:val="0"/>
              <w:spacing w:before="0" w:after="0"/>
              <w:ind w:left="0" w:right="0" w:hanging="0"/>
              <w:jc w:val="left"/>
              <w:rPr/>
            </w:pPr>
            <w:r>
              <w:rPr/>
              <w:t>​</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currency exchange rates</w:t>
            </w:r>
          </w:p>
        </w:tc>
        <w:tc>
          <w:tcPr>
            <w:tcW w:w="109" w:type="dxa"/>
            <w:tcBorders/>
            <w:shd w:fill="CCEEFF" w:val="clear"/>
            <w:vAlign w:val="center"/>
          </w:tcPr>
          <w:p>
            <w:pPr>
              <w:pStyle w:val="TableContents"/>
              <w:bidi w:val="0"/>
              <w:spacing w:before="0" w:after="0"/>
              <w:ind w:left="0" w:right="0" w:hanging="0"/>
              <w:jc w:val="left"/>
              <w:rPr/>
            </w:pPr>
            <w:r>
              <w:rPr/>
              <w:t>​</w:t>
            </w:r>
          </w:p>
        </w:tc>
        <w:tc>
          <w:tcPr>
            <w:tcW w:w="18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6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777" w:type="dxa"/>
            <w:tcBorders/>
            <w:shd w:fill="CCEEFF" w:val="clear"/>
            <w:vAlign w:val="center"/>
          </w:tcPr>
          <w:p>
            <w:pPr>
              <w:pStyle w:val="TableContents"/>
              <w:bidi w:val="0"/>
              <w:spacing w:before="0" w:after="0"/>
              <w:ind w:left="0" w:right="0" w:hanging="0"/>
              <w:jc w:val="left"/>
              <w:rPr/>
            </w:pPr>
            <w:r>
              <w:rPr/>
              <w:t>​</w:t>
            </w:r>
          </w:p>
        </w:tc>
      </w:tr>
      <w:tr>
        <w:trPr/>
        <w:tc>
          <w:tcPr>
            <w:tcW w:w="3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634"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left"/>
              <w:rPr/>
            </w:pPr>
            <w:r>
              <w:rPr/>
              <w:t>​</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18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6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7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 6 of 6</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5" w:name="vhl-20260806xex99d2.htm"/>
      <w:bookmarkStart w:id="46" w:name="ksvhl20260806xex99d2"/>
      <w:bookmarkStart w:id="47" w:name="vhl-20260806xex99d2.htm"/>
      <w:bookmarkStart w:id="48" w:name="ksvhl20260806xex99d2"/>
      <w:bookmarkEnd w:id="47"/>
      <w:bookmarkEnd w:id="48"/>
      <w:r>
        <w:br w:type="page"/>
      </w:r>
    </w:p>
    <w:tbl>
      <w:tblPr>
        <w:tblW w:w="2276" w:type="dxa"/>
        <w:jc w:val="left"/>
        <w:tblInd w:w="0" w:type="dxa"/>
        <w:tblLayout w:type="fixed"/>
        <w:tblCellMar>
          <w:top w:w="0" w:type="dxa"/>
          <w:left w:w="0" w:type="dxa"/>
          <w:bottom w:w="0" w:type="dxa"/>
          <w:right w:w="0" w:type="dxa"/>
        </w:tblCellMar>
      </w:tblPr>
      <w:tblGrid>
        <w:gridCol w:w="2276"/>
      </w:tblGrid>
      <w:tr>
        <w:trPr/>
        <w:tc>
          <w:tcPr>
            <w:tcW w:w="2276" w:type="dxa"/>
            <w:tcBorders/>
            <w:vAlign w:val="center"/>
          </w:tcPr>
          <w:p>
            <w:pPr>
              <w:pStyle w:val="TableContents"/>
              <w:bidi w:val="0"/>
              <w:spacing w:before="0" w:after="0"/>
              <w:ind w:left="0" w:right="0" w:hanging="0"/>
              <w:jc w:val="both"/>
              <w:rPr/>
            </w:pPr>
            <w:r>
              <w:rPr/>
              <w:t>​</w:t>
            </w:r>
          </w:p>
        </w:tc>
      </w:tr>
      <w:tr>
        <w:trPr/>
        <w:tc>
          <w:tcPr>
            <w:tcW w:w="2276" w:type="dxa"/>
            <w:tcBorders/>
            <w:vAlign w:val="center"/>
          </w:tcPr>
          <w:p>
            <w:pPr>
              <w:pStyle w:val="TableContents"/>
              <w:bidi w:val="0"/>
              <w:spacing w:before="0" w:after="0"/>
              <w:ind w:left="0" w:right="0" w:hanging="0"/>
              <w:jc w:val="both"/>
              <w:rPr/>
            </w:pPr>
            <w:r>
              <w:rPr/>
              <w:t>​</w:t>
            </w:r>
          </w:p>
        </w:tc>
      </w:tr>
      <w:tr>
        <w:trPr/>
        <w:tc>
          <w:tcPr>
            <w:tcW w:w="2276" w:type="dxa"/>
            <w:tcBorders/>
            <w:vAlign w:val="center"/>
          </w:tcPr>
          <w:p>
            <w:pPr>
              <w:pStyle w:val="TableContents"/>
              <w:bidi w:val="0"/>
              <w:spacing w:before="0" w:after="0"/>
              <w:ind w:left="0" w:right="0" w:hanging="0"/>
              <w:jc w:val="center"/>
              <w:rPr/>
            </w:pPr>
            <w:r>
              <w:rPr/>
              <w:drawing>
                <wp:inline distT="0" distB="0" distL="0" distR="0">
                  <wp:extent cx="1352550" cy="811530"/>
                  <wp:effectExtent l="0" t="0" r="0" b="0"/>
                  <wp:docPr id="2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 descr=""/>
                          <pic:cNvPicPr>
                            <a:picLocks noChangeAspect="1" noChangeArrowheads="1"/>
                          </pic:cNvPicPr>
                        </pic:nvPicPr>
                        <pic:blipFill>
                          <a:blip r:embed="rId3"/>
                          <a:stretch>
                            <a:fillRect/>
                          </a:stretch>
                        </pic:blipFill>
                        <pic:spPr bwMode="auto">
                          <a:xfrm>
                            <a:off x="0" y="0"/>
                            <a:ext cx="1352550" cy="811530"/>
                          </a:xfrm>
                          <a:prstGeom prst="rect">
                            <a:avLst/>
                          </a:prstGeom>
                        </pic:spPr>
                      </pic:pic>
                    </a:graphicData>
                  </a:graphic>
                </wp:inline>
              </w:drawing>
            </w:r>
          </w:p>
        </w:tc>
      </w:tr>
    </w:tbl>
    <w:p>
      <w:pPr>
        <w:pStyle w:val="TextBody"/>
        <w:bidi w:val="0"/>
        <w:spacing w:before="0" w:after="0"/>
        <w:ind w:left="0" w:right="0" w:hanging="0"/>
        <w:jc w:val="both"/>
        <w:rPr/>
      </w:pPr>
      <w:r>
        <w:rPr/>
        <w:t>​</w:t>
      </w:r>
    </w:p>
    <w:p>
      <w:pPr>
        <w:pStyle w:val="TextBody"/>
        <w:bidi w:val="0"/>
        <w:spacing w:before="0" w:after="120"/>
        <w:ind w:left="0" w:right="0" w:hanging="0"/>
        <w:jc w:val="center"/>
        <w:rPr>
          <w:rFonts w:ascii="Times New Roman;Times;serif" w:hAnsi="Times New Roman;Times;serif"/>
          <w:b/>
          <w:spacing w:val="-2"/>
          <w:sz w:val="24"/>
        </w:rPr>
      </w:pPr>
      <w:r>
        <w:rPr>
          <w:rFonts w:ascii="Times New Roman;Times;serif" w:hAnsi="Times New Roman;Times;serif"/>
          <w:b/>
          <w:spacing w:val="-2"/>
          <w:sz w:val="24"/>
        </w:rPr>
        <w:t>VALHI DECLARES QUARTERLY DIVIDEND</w:t>
      </w:r>
    </w:p>
    <w:p>
      <w:pPr>
        <w:pStyle w:val="TextBody"/>
        <w:bidi w:val="0"/>
        <w:spacing w:before="0" w:after="0"/>
        <w:ind w:left="0" w:right="0" w:hanging="0"/>
        <w:jc w:val="center"/>
        <w:rPr>
          <w:spacing w:val="-2"/>
        </w:rPr>
      </w:pPr>
      <w:r>
        <w:rPr>
          <w:spacing w:val="-2"/>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DALLAS, TEXAS . . . August 6, 2026 . . . Valhi, Inc. (NYSE:  VHI) announced today that its board of directors has declared a regular quarterly dividend of eight cents ($0.08) per share on its common stock, payable on September 24, 2026 to stockholders of record at the close of business on September 3, 2026.</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 xml:space="preserve">Valhi, Inc. is engaged in the chemicals </w:t>
      </w:r>
      <w:r>
        <w:rPr>
          <w:rFonts w:ascii="Times New Roman;Times;serif" w:hAnsi="Times New Roman;Times;serif"/>
          <w:sz w:val="24"/>
          <w:shd w:fill="FFFFFF" w:val="clear"/>
        </w:rPr>
        <w:t>(TiO</w:t>
      </w:r>
      <w:r>
        <w:rPr>
          <w:rFonts w:ascii="Times New Roman;Times;serif" w:hAnsi="Times New Roman;Times;serif"/>
          <w:sz w:val="18"/>
          <w:shd w:fill="FFFFFF" w:val="clear"/>
        </w:rPr>
        <w:t>2</w:t>
      </w:r>
      <w:r>
        <w:rPr>
          <w:rFonts w:ascii="Times New Roman;Times;serif" w:hAnsi="Times New Roman;Times;serif"/>
          <w:sz w:val="24"/>
          <w:shd w:fill="FFFFFF" w:val="clear"/>
        </w:rPr>
        <w:t>)</w:t>
      </w:r>
      <w:r>
        <w:rPr>
          <w:rFonts w:ascii="Times New Roman;Times;serif" w:hAnsi="Times New Roman;Times;serif"/>
          <w:sz w:val="24"/>
        </w:rPr>
        <w:t xml:space="preserve">, component products (security products and recreational marine components) </w:t>
      </w:r>
      <w:r>
        <w:rPr>
          <w:rFonts w:ascii="Times New Roman;Times;serif" w:hAnsi="Times New Roman;Times;serif"/>
          <w:spacing w:val="-2"/>
          <w:sz w:val="24"/>
        </w:rPr>
        <w:t>and real estate management and development industries</w:t>
      </w:r>
      <w:r>
        <w:rPr>
          <w:rFonts w:ascii="Times New Roman;Times;serif" w:hAnsi="Times New Roman;Times;serif"/>
          <w:sz w:val="24"/>
        </w:rPr>
        <w:t>.</w:t>
      </w:r>
    </w:p>
    <w:p>
      <w:pPr>
        <w:pStyle w:val="TextBody"/>
        <w:bidi w:val="0"/>
        <w:spacing w:before="0" w:after="0"/>
        <w:ind w:left="0" w:right="0" w:hanging="0"/>
        <w:jc w:val="center"/>
        <w:rPr>
          <w:spacing w:val="-2"/>
        </w:rPr>
      </w:pPr>
      <w:r>
        <w:rPr>
          <w:spacing w:val="-2"/>
        </w:rPr>
        <w:t>​</w:t>
      </w:r>
    </w:p>
    <w:p>
      <w:pPr>
        <w:pStyle w:val="TextBody"/>
        <w:bidi w:val="0"/>
        <w:spacing w:before="0" w:after="0"/>
        <w:ind w:left="0" w:right="0" w:hanging="0"/>
        <w:jc w:val="center"/>
        <w:rPr>
          <w:spacing w:val="-2"/>
        </w:rPr>
      </w:pPr>
      <w:r>
        <w:rPr>
          <w:spacing w:val="-2"/>
        </w:rPr>
        <w:t>​</w:t>
      </w:r>
    </w:p>
    <w:p>
      <w:pPr>
        <w:pStyle w:val="TextBody"/>
        <w:bidi w:val="0"/>
        <w:spacing w:before="0" w:after="0"/>
        <w:ind w:left="0" w:right="0" w:hanging="0"/>
        <w:jc w:val="center"/>
        <w:rPr>
          <w:rFonts w:ascii="Times New Roman;Times;serif" w:hAnsi="Times New Roman;Times;serif"/>
          <w:spacing w:val="-2"/>
          <w:sz w:val="22"/>
        </w:rPr>
      </w:pPr>
      <w:r>
        <w:rPr>
          <w:rFonts w:ascii="Times New Roman;Times;serif" w:hAnsi="Times New Roman;Times;serif"/>
          <w:spacing w:val="-2"/>
          <w:sz w:val="22"/>
        </w:rPr>
        <w:t>* * * * *</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Investor Relations Contact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Bryan A. Hanley</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Senior Vice President and Treasurer</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Tel. 972-233-1700</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Bol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3281</Words>
  <Characters>17700</Characters>
  <CharactersWithSpaces>21295</CharactersWithSpaces>
  <Paragraphs>915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