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Specialized Disclosure Report</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V</w:t>
      </w:r>
      <w:r>
        <w:rPr>
          <w:rFonts w:ascii="Times New Roman" w:cs="Times New Roman" w:eastAsia="Times New Roman" w:hAnsi="Times New Roman"/>
          <w:sz w:val="25"/>
          <w:szCs w:val="25"/>
          <w:b w:val="1"/>
          <w:bCs w:val="1"/>
          <w:color w:val="auto"/>
        </w:rPr>
        <w:t>alhi</w:t>
      </w:r>
      <w:r>
        <w:rPr>
          <w:rFonts w:ascii="Times New Roman" w:cs="Times New Roman" w:eastAsia="Times New Roman" w:hAnsi="Times New Roman"/>
          <w:sz w:val="36"/>
          <w:szCs w:val="36"/>
          <w:b w:val="1"/>
          <w:bCs w:val="1"/>
          <w:color w:val="auto"/>
        </w:rPr>
        <w:t>, I</w:t>
      </w:r>
      <w:r>
        <w:rPr>
          <w:rFonts w:ascii="Times New Roman" w:cs="Times New Roman" w:eastAsia="Times New Roman" w:hAnsi="Times New Roman"/>
          <w:sz w:val="25"/>
          <w:szCs w:val="25"/>
          <w:b w:val="1"/>
          <w:bCs w:val="1"/>
          <w:color w:val="auto"/>
        </w:rPr>
        <w:t>nc</w:t>
      </w:r>
      <w:r>
        <w:rPr>
          <w:rFonts w:ascii="Times New Roman" w:cs="Times New Roman" w:eastAsia="Times New Roman" w:hAnsi="Times New Roman"/>
          <w:sz w:val="36"/>
          <w:szCs w:val="3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40005</wp:posOffset>
            </wp:positionV>
            <wp:extent cx="54521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304" w:lineRule="exact"/>
        <w:rPr>
          <w:sz w:val="24"/>
          <w:szCs w:val="24"/>
          <w:color w:val="auto"/>
        </w:rPr>
      </w:pPr>
    </w:p>
    <w:tbl>
      <w:tblPr>
        <w:tblLayout w:type="fixed"/>
        <w:tblInd w:w="300" w:type="dxa"/>
        <w:tblCellMar>
          <w:top w:w="0" w:type="dxa"/>
          <w:left w:w="0" w:type="dxa"/>
          <w:bottom w:w="0" w:type="dxa"/>
          <w:right w:w="0" w:type="dxa"/>
        </w:tblCellMar>
      </w:tblPr>
      <w:tr>
        <w:trPr>
          <w:trHeight w:val="301"/>
        </w:trPr>
        <w:tc>
          <w:tcPr>
            <w:tcW w:w="2700" w:type="dxa"/>
            <w:vAlign w:val="bottom"/>
          </w:tcPr>
          <w:p>
            <w:pPr>
              <w:jc w:val="center"/>
              <w:spacing w:after="0"/>
              <w:rPr>
                <w:sz w:val="20"/>
                <w:szCs w:val="20"/>
                <w:color w:val="auto"/>
              </w:rPr>
            </w:pPr>
            <w:r>
              <w:rPr>
                <w:rFonts w:ascii="Times New Roman" w:cs="Times New Roman" w:eastAsia="Times New Roman" w:hAnsi="Times New Roman"/>
                <w:sz w:val="25"/>
                <w:szCs w:val="25"/>
                <w:b w:val="1"/>
                <w:bCs w:val="1"/>
                <w:color w:val="auto"/>
                <w:w w:val="98"/>
              </w:rPr>
              <w:t>Delaware</w:t>
            </w:r>
          </w:p>
        </w:tc>
        <w:tc>
          <w:tcPr>
            <w:tcW w:w="2860" w:type="dxa"/>
            <w:vAlign w:val="bottom"/>
            <w:gridSpan w:val="2"/>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1-5467</w:t>
            </w:r>
          </w:p>
        </w:tc>
        <w:tc>
          <w:tcPr>
            <w:tcW w:w="2840" w:type="dxa"/>
            <w:vAlign w:val="bottom"/>
            <w:gridSpan w:val="3"/>
          </w:tcPr>
          <w:p>
            <w:pPr>
              <w:jc w:val="center"/>
              <w:ind w:left="63"/>
              <w:spacing w:after="0"/>
              <w:rPr>
                <w:sz w:val="20"/>
                <w:szCs w:val="20"/>
                <w:color w:val="auto"/>
              </w:rPr>
            </w:pPr>
            <w:r>
              <w:rPr>
                <w:rFonts w:ascii="Times New Roman" w:cs="Times New Roman" w:eastAsia="Times New Roman" w:hAnsi="Times New Roman"/>
                <w:sz w:val="22"/>
                <w:szCs w:val="22"/>
                <w:b w:val="1"/>
                <w:bCs w:val="1"/>
                <w:color w:val="auto"/>
                <w:w w:val="95"/>
              </w:rPr>
              <w:t>87-0110150</w:t>
            </w:r>
          </w:p>
        </w:tc>
        <w:tc>
          <w:tcPr>
            <w:tcW w:w="0" w:type="dxa"/>
            <w:vAlign w:val="bottom"/>
          </w:tcPr>
          <w:p>
            <w:pPr>
              <w:spacing w:after="0"/>
              <w:rPr>
                <w:sz w:val="1"/>
                <w:szCs w:val="1"/>
                <w:color w:val="auto"/>
              </w:rPr>
            </w:pPr>
          </w:p>
        </w:tc>
      </w:tr>
      <w:tr>
        <w:trPr>
          <w:trHeight w:val="34"/>
        </w:trPr>
        <w:tc>
          <w:tcPr>
            <w:tcW w:w="270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68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(Commission</w:t>
            </w:r>
          </w:p>
        </w:tc>
        <w:tc>
          <w:tcPr>
            <w:tcW w:w="180" w:type="dxa"/>
            <w:vAlign w:val="bottom"/>
            <w:vMerge w:val="restart"/>
          </w:tcPr>
          <w:p>
            <w:pPr>
              <w:spacing w:after="0"/>
              <w:rPr>
                <w:sz w:val="2"/>
                <w:szCs w:val="2"/>
                <w:color w:val="auto"/>
              </w:rPr>
            </w:pPr>
          </w:p>
        </w:tc>
        <w:tc>
          <w:tcPr>
            <w:tcW w:w="20" w:type="dxa"/>
            <w:vAlign w:val="bottom"/>
            <w:tcBorders>
              <w:top w:val="single" w:sz="8" w:color="auto"/>
              <w:bottom w:val="single" w:sz="8" w:color="auto"/>
            </w:tcBorders>
            <w:vMerge w:val="restart"/>
          </w:tcPr>
          <w:p>
            <w:pPr>
              <w:spacing w:after="0"/>
              <w:rPr>
                <w:sz w:val="2"/>
                <w:szCs w:val="2"/>
                <w:color w:val="auto"/>
              </w:rPr>
            </w:pPr>
          </w:p>
        </w:tc>
        <w:tc>
          <w:tcPr>
            <w:tcW w:w="264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(IRS Employer</w:t>
            </w:r>
          </w:p>
        </w:tc>
        <w:tc>
          <w:tcPr>
            <w:tcW w:w="0" w:type="dxa"/>
            <w:vAlign w:val="bottom"/>
          </w:tcPr>
          <w:p>
            <w:pPr>
              <w:spacing w:after="0"/>
              <w:rPr>
                <w:sz w:val="1"/>
                <w:szCs w:val="1"/>
                <w:color w:val="auto"/>
              </w:rPr>
            </w:pPr>
          </w:p>
        </w:tc>
      </w:tr>
      <w:tr>
        <w:trPr>
          <w:trHeight w:val="187"/>
        </w:trPr>
        <w:tc>
          <w:tcPr>
            <w:tcW w:w="2700" w:type="dxa"/>
            <w:vAlign w:val="bottom"/>
          </w:tcPr>
          <w:p>
            <w:pPr>
              <w:jc w:val="center"/>
              <w:spacing w:after="0" w:line="186" w:lineRule="exact"/>
              <w:rPr>
                <w:sz w:val="20"/>
                <w:szCs w:val="20"/>
                <w:color w:val="auto"/>
              </w:rPr>
            </w:pPr>
            <w:r>
              <w:rPr>
                <w:rFonts w:ascii="Times New Roman" w:cs="Times New Roman" w:eastAsia="Times New Roman" w:hAnsi="Times New Roman"/>
                <w:sz w:val="20"/>
                <w:szCs w:val="20"/>
                <w:color w:val="auto"/>
                <w:w w:val="95"/>
              </w:rPr>
              <w:t>(State or other jurisdiction of</w:t>
            </w:r>
          </w:p>
        </w:tc>
        <w:tc>
          <w:tcPr>
            <w:tcW w:w="180" w:type="dxa"/>
            <w:vAlign w:val="bottom"/>
            <w:vMerge w:val="continue"/>
          </w:tcPr>
          <w:p>
            <w:pPr>
              <w:spacing w:after="0"/>
              <w:rPr>
                <w:sz w:val="16"/>
                <w:szCs w:val="16"/>
                <w:color w:val="auto"/>
              </w:rPr>
            </w:pPr>
          </w:p>
        </w:tc>
        <w:tc>
          <w:tcPr>
            <w:tcW w:w="268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7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incorporation)</w:t>
            </w:r>
          </w:p>
        </w:tc>
        <w:tc>
          <w:tcPr>
            <w:tcW w:w="18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File Number)</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Identification No.)</w:t>
            </w:r>
          </w:p>
        </w:tc>
        <w:tc>
          <w:tcPr>
            <w:tcW w:w="0" w:type="dxa"/>
            <w:vAlign w:val="bottom"/>
          </w:tcPr>
          <w:p>
            <w:pPr>
              <w:spacing w:after="0"/>
              <w:rPr>
                <w:sz w:val="1"/>
                <w:szCs w:val="1"/>
                <w:color w:val="auto"/>
              </w:rPr>
            </w:pPr>
          </w:p>
        </w:tc>
      </w:tr>
      <w:tr>
        <w:trPr>
          <w:trHeight w:val="770"/>
        </w:trPr>
        <w:tc>
          <w:tcPr>
            <w:tcW w:w="5560" w:type="dxa"/>
            <w:vAlign w:val="bottom"/>
            <w:gridSpan w:val="3"/>
          </w:tcPr>
          <w:p>
            <w:pPr>
              <w:jc w:val="center"/>
              <w:spacing w:after="0"/>
              <w:rPr>
                <w:sz w:val="20"/>
                <w:szCs w:val="20"/>
                <w:color w:val="auto"/>
              </w:rPr>
            </w:pPr>
            <w:r>
              <w:rPr>
                <w:rFonts w:ascii="Times New Roman" w:cs="Times New Roman" w:eastAsia="Times New Roman" w:hAnsi="Times New Roman"/>
                <w:sz w:val="25"/>
                <w:szCs w:val="25"/>
                <w:b w:val="1"/>
                <w:bCs w:val="1"/>
                <w:color w:val="auto"/>
                <w:w w:val="97"/>
              </w:rPr>
              <w:t>5430 LBJ Freeway, Suite 1700, Dallas, Texas</w:t>
            </w:r>
          </w:p>
        </w:tc>
        <w:tc>
          <w:tcPr>
            <w:tcW w:w="2840" w:type="dxa"/>
            <w:vAlign w:val="bottom"/>
            <w:gridSpan w:val="3"/>
          </w:tcPr>
          <w:p>
            <w:pPr>
              <w:jc w:val="center"/>
              <w:ind w:left="83"/>
              <w:spacing w:after="0"/>
              <w:rPr>
                <w:sz w:val="20"/>
                <w:szCs w:val="20"/>
                <w:color w:val="auto"/>
              </w:rPr>
            </w:pPr>
            <w:r>
              <w:rPr>
                <w:rFonts w:ascii="Times New Roman" w:cs="Times New Roman" w:eastAsia="Times New Roman" w:hAnsi="Times New Roman"/>
                <w:sz w:val="25"/>
                <w:szCs w:val="25"/>
                <w:b w:val="1"/>
                <w:bCs w:val="1"/>
                <w:color w:val="auto"/>
                <w:w w:val="99"/>
              </w:rPr>
              <w:t>75240-2620</w:t>
            </w:r>
          </w:p>
        </w:tc>
        <w:tc>
          <w:tcPr>
            <w:tcW w:w="0" w:type="dxa"/>
            <w:vAlign w:val="bottom"/>
          </w:tcPr>
          <w:p>
            <w:pPr>
              <w:spacing w:after="0"/>
              <w:rPr>
                <w:sz w:val="1"/>
                <w:szCs w:val="1"/>
                <w:color w:val="auto"/>
              </w:rPr>
            </w:pPr>
          </w:p>
        </w:tc>
      </w:tr>
      <w:tr>
        <w:trPr>
          <w:trHeight w:val="258"/>
        </w:trPr>
        <w:tc>
          <w:tcPr>
            <w:tcW w:w="55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5"/>
              </w:rPr>
              <w:t>(Address of principal executive offices)</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(Zip Code)</w:t>
            </w:r>
          </w:p>
        </w:tc>
        <w:tc>
          <w:tcPr>
            <w:tcW w:w="0" w:type="dxa"/>
            <w:vAlign w:val="bottom"/>
          </w:tcPr>
          <w:p>
            <w:pPr>
              <w:spacing w:after="0"/>
              <w:rPr>
                <w:sz w:val="1"/>
                <w:szCs w:val="1"/>
                <w:color w:val="auto"/>
              </w:rPr>
            </w:pPr>
          </w:p>
        </w:tc>
      </w:tr>
    </w:tbl>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Jane Grimm</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Vice President and Secretary</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alhi</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Three Lincoln Centre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5430 LBJ Freeway, Suite 1700</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Dallas, Texas 75240-2620</w:t>
      </w:r>
    </w:p>
    <w:p>
      <w:pPr>
        <w:jc w:val="center"/>
        <w:spacing w:after="0"/>
        <w:rPr>
          <w:sz w:val="20"/>
          <w:szCs w:val="20"/>
          <w:color w:val="auto"/>
        </w:rPr>
      </w:pPr>
      <w:r>
        <w:rPr>
          <w:rFonts w:ascii="Times New Roman" w:cs="Times New Roman" w:eastAsia="Times New Roman" w:hAnsi="Times New Roman"/>
          <w:sz w:val="22"/>
          <w:szCs w:val="22"/>
          <w:b w:val="1"/>
          <w:bCs w:val="1"/>
          <w:color w:val="auto"/>
        </w:rPr>
        <w:t>(972) 233-1700</w:t>
      </w:r>
    </w:p>
    <w:p>
      <w:pPr>
        <w:spacing w:after="0" w:line="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-132080</wp:posOffset>
            </wp:positionV>
            <wp:extent cx="5452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8890"/>
                    </a:xfrm>
                    <a:prstGeom prst="rect">
                      <a:avLst/>
                    </a:prstGeom>
                    <a:noFill/>
                  </pic:spPr>
                </pic:pic>
              </a:graphicData>
            </a:graphic>
          </wp:anchor>
        </w:drawing>
      </w:r>
    </w:p>
    <w:p>
      <w:pPr>
        <w:spacing w:after="0" w:line="342" w:lineRule="exact"/>
        <w:rPr>
          <w:sz w:val="24"/>
          <w:szCs w:val="24"/>
          <w:color w:val="auto"/>
        </w:rPr>
      </w:pPr>
    </w:p>
    <w:p>
      <w:pPr>
        <w:ind w:left="200" w:right="519"/>
        <w:spacing w:after="0" w:line="261" w:lineRule="auto"/>
        <w:rPr>
          <w:sz w:val="20"/>
          <w:szCs w:val="20"/>
          <w:color w:val="auto"/>
        </w:rPr>
      </w:pPr>
      <w:r>
        <w:rPr>
          <w:rFonts w:ascii="Times New Roman" w:cs="Times New Roman" w:eastAsia="Times New Roman" w:hAnsi="Times New Roman"/>
          <w:sz w:val="20"/>
          <w:szCs w:val="20"/>
          <w:color w:val="auto"/>
        </w:rPr>
        <w:t>Check the appropriate box to indicate the rule pursuant to which this form is being filed, and provide the period to which the information in this form applies:</w:t>
      </w:r>
    </w:p>
    <w:p>
      <w:pPr>
        <w:spacing w:after="0" w:line="202" w:lineRule="exact"/>
        <w:rPr>
          <w:sz w:val="24"/>
          <w:szCs w:val="24"/>
          <w:color w:val="auto"/>
        </w:rPr>
      </w:pPr>
    </w:p>
    <w:p>
      <w:pPr>
        <w:ind w:left="880" w:right="459" w:hanging="574"/>
        <w:spacing w:after="0" w:line="183" w:lineRule="auto"/>
        <w:tabs>
          <w:tab w:leader="none" w:pos="880" w:val="left"/>
        </w:tabs>
        <w:numPr>
          <w:ilvl w:val="0"/>
          <w:numId w:val="1"/>
        </w:numPr>
        <w:rPr>
          <w:rFonts w:ascii="Arial" w:cs="Arial" w:eastAsia="Arial" w:hAnsi="Arial"/>
          <w:sz w:val="34"/>
          <w:szCs w:val="34"/>
          <w:color w:val="auto"/>
          <w:vertAlign w:val="subscript"/>
        </w:rPr>
      </w:pPr>
      <w:r>
        <w:rPr>
          <w:rFonts w:ascii="Times New Roman" w:cs="Times New Roman" w:eastAsia="Times New Roman" w:hAnsi="Times New Roman"/>
          <w:sz w:val="16"/>
          <w:szCs w:val="16"/>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647700</wp:posOffset>
            </wp:positionV>
            <wp:extent cx="5452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1" w:name="page2"/>
    <w:bookmarkEnd w:id="1"/>
    <w:p>
      <w:pPr>
        <w:ind w:left="200"/>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37" w:lineRule="exact"/>
        <w:rPr>
          <w:sz w:val="20"/>
          <w:szCs w:val="20"/>
          <w:color w:val="auto"/>
        </w:rPr>
      </w:pPr>
    </w:p>
    <w:p>
      <w:pPr>
        <w:jc w:val="both"/>
        <w:ind w:left="200" w:right="219" w:firstLine="648"/>
        <w:spacing w:after="0" w:line="234" w:lineRule="auto"/>
        <w:rPr>
          <w:sz w:val="20"/>
          <w:szCs w:val="20"/>
          <w:color w:val="auto"/>
        </w:rPr>
      </w:pPr>
      <w:r>
        <w:rPr>
          <w:rFonts w:ascii="Times New Roman" w:cs="Times New Roman" w:eastAsia="Times New Roman" w:hAnsi="Times New Roman"/>
          <w:sz w:val="22"/>
          <w:szCs w:val="22"/>
          <w:color w:val="auto"/>
        </w:rPr>
        <w:t xml:space="preserve">The registrant incorporates herein by reference the Conflict Minerals Disclosure for the 2025 calendar year contained in the Form SD filed on May 19, 2026 by the registrant’s subsidiary, CompX International Inc. (Securities and Exchange Act file no. 1-13905), with the U.S. Securities and Exchange Commission. Such Conflict Minerals Disclosure is posted on the </w:t>
      </w:r>
      <w:r>
        <w:rPr>
          <w:rFonts w:ascii="Times New Roman" w:cs="Times New Roman" w:eastAsia="Times New Roman" w:hAnsi="Times New Roman"/>
          <w:sz w:val="19"/>
          <w:szCs w:val="19"/>
          <w:color w:val="auto"/>
        </w:rPr>
        <w:t>subsidiary’s website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at:</w:t>
      </w: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https://compxinternational.com/governance/#conflict</w:t>
      </w:r>
    </w:p>
    <w:p>
      <w:pPr>
        <w:spacing w:after="0" w:line="23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This Conflicts Minerals Disclosure is also posted on the registrant’s website at</w:t>
      </w:r>
      <w:r>
        <w:rPr>
          <w:rFonts w:ascii="Arial" w:cs="Arial" w:eastAsia="Arial" w:hAnsi="Arial"/>
          <w:sz w:val="17"/>
          <w:szCs w:val="17"/>
          <w:color w:val="auto"/>
        </w:rPr>
        <w:t>:</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https://www.valhi.net/conflict-minerals-disclosure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00" w:lineRule="exact"/>
        <w:rPr>
          <w:sz w:val="20"/>
          <w:szCs w:val="20"/>
          <w:color w:val="auto"/>
        </w:rPr>
      </w:pPr>
    </w:p>
    <w:p>
      <w:pPr>
        <w:spacing w:after="0" w:line="280"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V</w:t>
      </w:r>
      <w:r>
        <w:rPr>
          <w:rFonts w:ascii="Times New Roman" w:cs="Times New Roman" w:eastAsia="Times New Roman" w:hAnsi="Times New Roman"/>
          <w:sz w:val="14"/>
          <w:szCs w:val="14"/>
          <w:b w:val="1"/>
          <w:bCs w:val="1"/>
          <w:color w:val="auto"/>
        </w:rPr>
        <w:t>alhi</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580"/>
        <w:spacing w:after="0"/>
        <w:tabs>
          <w:tab w:leader="none" w:pos="50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Jane R. Grimm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13430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300"/>
        <w:spacing w:after="0"/>
        <w:tabs>
          <w:tab w:leader="none" w:pos="5020" w:val="left"/>
        </w:tabs>
        <w:rPr>
          <w:sz w:val="20"/>
          <w:szCs w:val="20"/>
          <w:color w:val="auto"/>
        </w:rPr>
      </w:pPr>
      <w:r>
        <w:rPr>
          <w:rFonts w:ascii="Times New Roman" w:cs="Times New Roman" w:eastAsia="Times New Roman" w:hAnsi="Times New Roman"/>
          <w:sz w:val="22"/>
          <w:szCs w:val="22"/>
          <w:color w:val="auto"/>
        </w:rPr>
        <w:t>Date: May 19, 2026</w:t>
      </w:r>
      <w:r>
        <w:rPr>
          <w:sz w:val="20"/>
          <w:szCs w:val="20"/>
          <w:color w:val="auto"/>
        </w:rPr>
        <w:tab/>
      </w:r>
      <w:r>
        <w:rPr>
          <w:rFonts w:ascii="Times New Roman" w:cs="Times New Roman" w:eastAsia="Times New Roman" w:hAnsi="Times New Roman"/>
          <w:sz w:val="21"/>
          <w:szCs w:val="21"/>
          <w:i w:val="1"/>
          <w:iCs w:val="1"/>
          <w:color w:val="auto"/>
        </w:rPr>
        <w:t>Jane R. Grimm</w:t>
      </w:r>
    </w:p>
    <w:p>
      <w:pPr>
        <w:ind w:left="5040"/>
        <w:spacing w:after="0"/>
        <w:rPr>
          <w:sz w:val="20"/>
          <w:szCs w:val="20"/>
          <w:color w:val="auto"/>
        </w:rPr>
      </w:pPr>
      <w:r>
        <w:rPr>
          <w:rFonts w:ascii="Times New Roman" w:cs="Times New Roman" w:eastAsia="Times New Roman" w:hAnsi="Times New Roman"/>
          <w:sz w:val="22"/>
          <w:szCs w:val="22"/>
          <w:i w:val="1"/>
          <w:iCs w:val="1"/>
          <w:color w:val="auto"/>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801370</wp:posOffset>
            </wp:positionV>
            <wp:extent cx="54521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sectPr>
      <w:pgSz w:w="11900" w:h="16838" w:orient="portrait"/>
      <w:cols w:equalWidth="0" w:num="1">
        <w:col w:w="9019"/>
      </w:cols>
      <w:pgMar w:left="1440" w:top="8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2026-05-19T15:25:09Z</dcterms:created>
  <dcterms:modified xsi:type="dcterms:W3CDTF">2026-05-19T15:25:09Z</dcterms:modified>
</cp:coreProperties>
</file>