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vhl-20260630x10q.htm"/>
        <w:bookmarkStart w:id="1" w:name="ksvhl20260630x10q"/>
        <w:bookmarkEnd w:id="0"/>
        <w:bookmarkEnd w:id="1"/>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
                <wp:simplePos x="0" y="0"/>
                <wp:positionH relativeFrom="page">
                  <wp:posOffset>0</wp:posOffset>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pBdr>
          <w:top w:val="single" w:sz="24" w:space="1" w:color="000000"/>
          <w:bottom w:val="single" w:sz="8" w:space="1" w:color="000000"/>
        </w:pBdr>
        <w:bidi w:val="0"/>
        <w:spacing w:before="0" w:after="0"/>
        <w:ind w:left="0" w:right="0" w:hanging="0"/>
        <w:jc w:val="left"/>
        <w:rPr>
          <w:rFonts w:ascii="Times New Roman;Times;serif" w:hAnsi="Times New Roman;Times;serif"/>
          <w:sz w:val="2"/>
        </w:rPr>
      </w:pPr>
      <w:r>
        <w:rPr>
          <w:rFonts w:ascii="Times New Roman;Times;serif" w:hAnsi="Times New Roman;Times;serif"/>
          <w:sz w:val="2"/>
        </w:rPr>
        <w:t>as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bookmarkStart w:id="2" w:name="_6baf9d7a_b1c0_43d1_8279_be28e09c0c6b"/>
      <w:bookmarkEnd w:id="2"/>
      <w:r>
        <w:rPr>
          <w:rFonts w:ascii="Times New Roman;Times;serif" w:hAnsi="Times New Roman;Times;serif"/>
          <w:b/>
          <w:sz w:val="32"/>
        </w:rPr>
        <w:t>UNITED STATES</w:t>
      </w:r>
    </w:p>
    <w:p>
      <w:pPr>
        <w:pStyle w:val="TextBody"/>
        <w:bidi w:val="0"/>
        <w:spacing w:before="0" w:after="2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20"/>
        <w:ind w:left="0" w:right="0" w:hanging="0"/>
        <w:jc w:val="center"/>
        <w:rPr>
          <w:rFonts w:ascii="Times New Roman;Times;serif" w:hAnsi="Times New Roman;Times;serif"/>
          <w:b/>
          <w:sz w:val="32"/>
        </w:rPr>
      </w:pPr>
      <w:r>
        <w:rPr>
          <w:rFonts w:ascii="Times New Roman;Times;serif" w:hAnsi="Times New Roman;Times;serif"/>
          <w:b/>
          <w:sz w:val="32"/>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center"/>
        <w:rPr/>
      </w:pPr>
      <w:r>
        <w:rPr/>
        <w:t>☒  </w:t>
      </w:r>
      <w:r>
        <w:rPr>
          <w:rFonts w:ascii="Times New Roman;Times;serif" w:hAnsi="Times New Roman;Times;serif"/>
          <w:b/>
          <w:sz w:val="24"/>
        </w:rPr>
        <w:t>QUARTERLY REPORT PURSUANT TO SECTION 13 OR 15(d) OF</w:t>
      </w:r>
    </w:p>
    <w:p>
      <w:pPr>
        <w:pStyle w:val="TextBody"/>
        <w:bidi w:val="0"/>
        <w:spacing w:before="0" w:after="2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  </w:t>
      </w:r>
      <w:r>
        <w:rPr>
          <w:rFonts w:ascii="Times New Roman;Times;serif" w:hAnsi="Times New Roman;Times;serif"/>
          <w:b/>
          <w:sz w:val="24"/>
        </w:rPr>
        <w:t>TRANSITION REPORT PURSUANT TO SECTION 13 OR 15(d) OF</w:t>
      </w:r>
    </w:p>
    <w:p>
      <w:pPr>
        <w:pStyle w:val="TextBody"/>
        <w:bidi w:val="0"/>
        <w:spacing w:before="0" w:after="2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1-5467</w:t>
      </w:r>
    </w:p>
    <w:p>
      <w:pPr>
        <w:pStyle w:val="TextBody"/>
        <w:bidi w:val="0"/>
        <w:spacing w:before="0" w:after="40"/>
        <w:ind w:left="0" w:right="0" w:hanging="0"/>
        <w:jc w:val="center"/>
        <w:rPr>
          <w:rFonts w:ascii="Times New Roman;Times;serif" w:hAnsi="Times New Roman;Times;serif"/>
          <w:b/>
          <w:sz w:val="40"/>
        </w:rPr>
      </w:pPr>
      <w:r>
        <w:rPr>
          <w:rFonts w:ascii="Times New Roman;Times;serif" w:hAnsi="Times New Roman;Times;serif"/>
          <w:b/>
          <w:sz w:val="40"/>
        </w:rPr>
        <w:t>VALHI,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vWlO3glXnUmJ_yIPm0IaNw_2_2"/>
      <w:bookmarkStart w:id="4" w:name="Tc_mmmQX8oXe0eYQEA7Ix43HQ_2_0"/>
      <w:bookmarkStart w:id="5" w:name="_8d9abcd6_340c_4a27_bbd7_eb57ccbd047d"/>
      <w:bookmarkStart w:id="6" w:name="Tc_vWlO3glXnUmJ_yIPm0IaNw_2_2"/>
      <w:bookmarkStart w:id="7" w:name="Tc_mmmQX8oXe0eYQEA7Ix43HQ_2_0"/>
      <w:bookmarkStart w:id="8" w:name="_8d9abcd6_340c_4a27_bbd7_eb57ccbd047d"/>
      <w:bookmarkEnd w:id="6"/>
      <w:bookmarkEnd w:id="7"/>
      <w:bookmarkEnd w:id="8"/>
    </w:p>
    <w:tbl>
      <w:tblPr>
        <w:tblW w:w="4773" w:type="dxa"/>
        <w:jc w:val="left"/>
        <w:tblInd w:w="0" w:type="dxa"/>
        <w:tblLayout w:type="fixed"/>
        <w:tblCellMar>
          <w:top w:w="0" w:type="dxa"/>
          <w:left w:w="0" w:type="dxa"/>
          <w:bottom w:w="0" w:type="dxa"/>
          <w:right w:w="0" w:type="dxa"/>
        </w:tblCellMar>
      </w:tblPr>
      <w:tblGrid>
        <w:gridCol w:w="2746"/>
        <w:gridCol w:w="346"/>
        <w:gridCol w:w="1681"/>
      </w:tblGrid>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87-0110150</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r>
          </w:p>
          <w:p>
            <w:pPr>
              <w:pStyle w:val="TableContents"/>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incorporation or organization)</w:t>
            </w:r>
          </w:p>
        </w:tc>
        <w:tc>
          <w:tcPr>
            <w:tcW w:w="34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spacing w:before="8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Dallas, Texas</w:t>
      </w:r>
      <w:r>
        <w:rPr>
          <w:rFonts w:ascii="Times New Roman;Times;serif" w:hAnsi="Times New Roman;Times;serif"/>
          <w:sz w:val="20"/>
        </w:rPr>
        <w:t xml:space="preserve"> </w:t>
      </w:r>
      <w:r>
        <w:rPr>
          <w:rFonts w:ascii="Times New Roman;Times;serif" w:hAnsi="Times New Roman;Times;serif"/>
          <w:b/>
          <w:sz w:val="20"/>
        </w:rPr>
        <w:t>75240-2620</w:t>
      </w:r>
    </w:p>
    <w:p>
      <w:pPr>
        <w:pStyle w:val="TextBody"/>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(972) 233-1700</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 w:name="Tc_bK7RfhsNTEa8d-BpZfTbmw_1_4"/>
      <w:bookmarkStart w:id="10" w:name="Tc_VNnqgSbMD0Cj1hF_Q8E3EA_1_2"/>
      <w:bookmarkStart w:id="11" w:name="Tc_iilAcgHv6ked2LTXMGQCTA_1_0"/>
      <w:bookmarkStart w:id="12" w:name="_01a0c861_8acd_4eda_8cd2_79d4604f7a55"/>
      <w:bookmarkStart w:id="13" w:name="Tc_bK7RfhsNTEa8d-BpZfTbmw_1_4"/>
      <w:bookmarkStart w:id="14" w:name="Tc_VNnqgSbMD0Cj1hF_Q8E3EA_1_2"/>
      <w:bookmarkStart w:id="15" w:name="Tc_iilAcgHv6ked2LTXMGQCTA_1_0"/>
      <w:bookmarkStart w:id="16" w:name="_01a0c861_8acd_4eda_8cd2_79d4604f7a55"/>
      <w:bookmarkEnd w:id="13"/>
      <w:bookmarkEnd w:id="14"/>
      <w:bookmarkEnd w:id="15"/>
      <w:bookmarkEnd w:id="16"/>
    </w:p>
    <w:tbl>
      <w:tblPr>
        <w:tblW w:w="7190" w:type="dxa"/>
        <w:jc w:val="left"/>
        <w:tblInd w:w="0" w:type="dxa"/>
        <w:tblLayout w:type="fixed"/>
        <w:tblCellMar>
          <w:top w:w="0" w:type="dxa"/>
          <w:left w:w="0" w:type="dxa"/>
          <w:bottom w:w="0" w:type="dxa"/>
          <w:right w:w="0" w:type="dxa"/>
        </w:tblCellMar>
      </w:tblPr>
      <w:tblGrid>
        <w:gridCol w:w="1456"/>
        <w:gridCol w:w="346"/>
        <w:gridCol w:w="1561"/>
        <w:gridCol w:w="346"/>
        <w:gridCol w:w="3481"/>
      </w:tblGrid>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pPr>
            <w:r>
              <w:rPr/>
              <w:t>​</w:t>
            </w:r>
          </w:p>
        </w:tc>
      </w:tr>
      <w:tr>
        <w:trPr/>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vAlign w:val="center"/>
          </w:tcPr>
          <w:p>
            <w:pPr>
              <w:pStyle w:val="TableContents"/>
              <w:bidi w:val="0"/>
              <w:spacing w:before="0" w:after="0"/>
              <w:ind w:left="0" w:right="0" w:hanging="0"/>
              <w:jc w:val="center"/>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vAlign w:val="center"/>
          </w:tcPr>
          <w:p>
            <w:pPr>
              <w:pStyle w:val="TableContents"/>
              <w:bidi w:val="0"/>
              <w:spacing w:before="0" w:after="0"/>
              <w:ind w:left="0" w:right="0" w:hanging="0"/>
              <w:jc w:val="center"/>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346" w:type="dxa"/>
            <w:tcBorders/>
            <w:vAlign w:val="center"/>
          </w:tcPr>
          <w:p>
            <w:pPr>
              <w:pStyle w:val="TableContents"/>
              <w:bidi w:val="0"/>
              <w:spacing w:before="0" w:after="240"/>
              <w:ind w:left="0" w:right="0" w:hanging="0"/>
              <w:jc w:val="center"/>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VHI</w:t>
            </w:r>
          </w:p>
        </w:tc>
        <w:tc>
          <w:tcPr>
            <w:tcW w:w="346" w:type="dxa"/>
            <w:tcBorders/>
            <w:vAlign w:val="center"/>
          </w:tcPr>
          <w:p>
            <w:pPr>
              <w:pStyle w:val="TableContents"/>
              <w:bidi w:val="0"/>
              <w:spacing w:before="0" w:after="240"/>
              <w:ind w:left="0" w:right="0" w:hanging="0"/>
              <w:jc w:val="center"/>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w:t>
            </w:r>
          </w:p>
        </w:tc>
      </w:tr>
    </w:tbl>
    <w:p>
      <w:pPr>
        <w:pStyle w:val="TextBody"/>
        <w:bidi w:val="0"/>
        <w:spacing w:lineRule="auto" w:line="144" w:before="0" w:after="0"/>
        <w:ind w:left="0" w:right="0" w:hanging="0"/>
        <w:jc w:val="left"/>
        <w:rPr/>
      </w:pPr>
      <w:r>
        <w:rPr/>
        <w:t>​</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b/>
          <w:sz w:val="20"/>
        </w:rPr>
        <w:t>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6V4Rh3mOmUiJw8VkKGywqQ_3_0"/>
      <w:bookmarkStart w:id="18" w:name="Tc_6wn0O4ap_Ea-sSlJkZFgIg_2_5"/>
      <w:bookmarkStart w:id="19" w:name="Tc_QDzIpl62OUuPfy_GyDV8Pg_2_2"/>
      <w:bookmarkStart w:id="20" w:name="Tc_WVQOasKQ6kGF6ChP92RBGQ_1_7"/>
      <w:bookmarkStart w:id="21" w:name="Tc_di83kOR_LEKgaJcTbrnbew_1_5"/>
      <w:bookmarkStart w:id="22" w:name="Tc_gbPDLlr8NEu2AIVX3f83bQ_1_2"/>
      <w:bookmarkStart w:id="23" w:name="Tc_VaDRuGjxjkKQehvcLbmo-w_1_0"/>
      <w:bookmarkStart w:id="24" w:name="_861da549_fe2a_42f0_b4e5_c2a2aa2b8993"/>
      <w:bookmarkStart w:id="25" w:name="Tc_6V4Rh3mOmUiJw8VkKGywqQ_3_0"/>
      <w:bookmarkStart w:id="26" w:name="Tc_6wn0O4ap_Ea-sSlJkZFgIg_2_5"/>
      <w:bookmarkStart w:id="27" w:name="Tc_QDzIpl62OUuPfy_GyDV8Pg_2_2"/>
      <w:bookmarkStart w:id="28" w:name="Tc_WVQOasKQ6kGF6ChP92RBGQ_1_7"/>
      <w:bookmarkStart w:id="29" w:name="Tc_di83kOR_LEKgaJcTbrnbew_1_5"/>
      <w:bookmarkStart w:id="30" w:name="Tc_gbPDLlr8NEu2AIVX3f83bQ_1_2"/>
      <w:bookmarkStart w:id="31" w:name="Tc_VaDRuGjxjkKQehvcLbmo-w_1_0"/>
      <w:bookmarkStart w:id="32" w:name="_861da549_fe2a_42f0_b4e5_c2a2aa2b8993"/>
      <w:bookmarkEnd w:id="25"/>
      <w:bookmarkEnd w:id="26"/>
      <w:bookmarkEnd w:id="27"/>
      <w:bookmarkEnd w:id="28"/>
      <w:bookmarkEnd w:id="29"/>
      <w:bookmarkEnd w:id="30"/>
      <w:bookmarkEnd w:id="31"/>
      <w:bookmarkEnd w:id="32"/>
    </w:p>
    <w:tbl>
      <w:tblPr>
        <w:tblW w:w="6211" w:type="dxa"/>
        <w:jc w:val="left"/>
        <w:tblInd w:w="0" w:type="dxa"/>
        <w:tblLayout w:type="fixed"/>
        <w:tblCellMar>
          <w:top w:w="0" w:type="dxa"/>
          <w:left w:w="0" w:type="dxa"/>
          <w:bottom w:w="0" w:type="dxa"/>
          <w:right w:w="0" w:type="dxa"/>
        </w:tblCellMar>
      </w:tblPr>
      <w:tblGrid>
        <w:gridCol w:w="2446"/>
        <w:gridCol w:w="146"/>
        <w:gridCol w:w="316"/>
        <w:gridCol w:w="109"/>
        <w:gridCol w:w="226"/>
        <w:gridCol w:w="2461"/>
        <w:gridCol w:w="146"/>
        <w:gridCol w:w="361"/>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553210" cy="175260"/>
                      <wp:effectExtent l="0" t="0" r="0" b="0"/>
                      <wp:wrapNone/>
                      <wp:docPr id="2" name="Frame2"/>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710" cy="175260"/>
                      <wp:effectExtent l="0" t="0" r="0" b="0"/>
                      <wp:wrapNone/>
                      <wp:docPr id="3" name="Frame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0660" cy="175260"/>
                      <wp:effectExtent l="0" t="0" r="0" b="0"/>
                      <wp:wrapNone/>
                      <wp:docPr id="4" name="Frame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175260"/>
                      <wp:effectExtent l="0" t="0" r="0" b="0"/>
                      <wp:wrapNone/>
                      <wp:docPr id="5"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3510" cy="175260"/>
                      <wp:effectExtent l="0" t="0" r="0" b="0"/>
                      <wp:wrapNone/>
                      <wp:docPr id="6" name="Frame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562735" cy="175260"/>
                      <wp:effectExtent l="0" t="0" r="0" b="0"/>
                      <wp:wrapNone/>
                      <wp:docPr id="7" name="Frame7"/>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2710" cy="175260"/>
                      <wp:effectExtent l="0" t="0" r="0" b="0"/>
                      <wp:wrapNone/>
                      <wp:docPr id="8" name="Frame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29235" cy="175260"/>
                      <wp:effectExtent l="0" t="0" r="0" b="0"/>
                      <wp:wrapNone/>
                      <wp:docPr id="9" name="Frame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Large accelerated filer</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24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Accelerated filer</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Non-accelerated filer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24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Smaller reporting company</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Emerging growth company</w:t>
            </w:r>
          </w:p>
        </w:tc>
        <w:tc>
          <w:tcPr>
            <w:tcW w:w="14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26" w:type="dxa"/>
            <w:tcBorders/>
            <w:vAlign w:val="center"/>
          </w:tcPr>
          <w:p>
            <w:pPr>
              <w:pStyle w:val="TableContents"/>
              <w:bidi w:val="0"/>
              <w:spacing w:before="0" w:after="240"/>
              <w:ind w:left="0" w:right="0" w:hanging="0"/>
              <w:jc w:val="left"/>
              <w:rPr/>
            </w:pPr>
            <w:r>
              <w:rPr/>
              <w:t>​</w:t>
            </w:r>
          </w:p>
        </w:tc>
        <w:tc>
          <w:tcPr>
            <w:tcW w:w="2461" w:type="dxa"/>
            <w:tcBorders/>
            <w:vAlign w:val="center"/>
          </w:tcPr>
          <w:p>
            <w:pPr>
              <w:pStyle w:val="TableContents"/>
              <w:bidi w:val="0"/>
              <w:spacing w:before="0" w:after="240"/>
              <w:ind w:left="0" w:right="0" w:hanging="0"/>
              <w:jc w:val="left"/>
              <w:rPr/>
            </w:pPr>
            <w:r>
              <w:rPr/>
              <w:t>​</w:t>
            </w:r>
          </w:p>
        </w:tc>
        <w:tc>
          <w:tcPr>
            <w:tcW w:w="14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lineRule="auto" w:line="144"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18"/>
        </w:rPr>
      </w:pPr>
      <w:r>
        <w:rPr>
          <w:rFonts w:ascii="Times New Roman;Times;serif" w:hAnsi="Times New Roman;Times;serif"/>
          <w:b/>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b/>
          <w:sz w:val="18"/>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b/>
          <w:sz w:val="18"/>
        </w:rPr>
        <w:t>No  </w:t>
      </w:r>
      <w:r>
        <w:rPr>
          <w:rFonts w:ascii="Times New Roman;Times;serif" w:hAnsi="Times New Roman;Times;serif"/>
          <w:sz w:val="20"/>
        </w:rPr>
        <w:t>☒</w:t>
      </w:r>
      <w:r>
        <w:rPr>
          <w:rFonts w:ascii="Times New Roman;Times;serif" w:hAnsi="Times New Roman;Times;serif"/>
          <w:b/>
          <w:sz w:val="18"/>
        </w:rPr>
        <w:t>.</w:t>
      </w:r>
    </w:p>
    <w:p>
      <w:pPr>
        <w:pStyle w:val="TextBody"/>
        <w:bidi w:val="0"/>
        <w:spacing w:before="0" w:after="40"/>
        <w:ind w:left="0" w:right="0" w:firstLine="720"/>
        <w:jc w:val="both"/>
        <w:rPr>
          <w:rFonts w:ascii="Times New Roman;Times;serif" w:hAnsi="Times New Roman;Times;serif"/>
          <w:b/>
          <w:sz w:val="18"/>
        </w:rPr>
      </w:pPr>
      <w:r>
        <w:rPr>
          <w:rFonts w:ascii="Times New Roman;Times;serif" w:hAnsi="Times New Roman;Times;serif"/>
          <w:b/>
          <w:sz w:val="18"/>
        </w:rPr>
        <w:t>Number of shares of the registrant’s common stock, $.01 par value per share, outstanding on July 31, 2026:  28,321,193</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1">
                <wp:simplePos x="0" y="0"/>
                <wp:positionH relativeFrom="page">
                  <wp:posOffset>0</wp:posOffset>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center"/>
        <w:rPr>
          <w:rFonts w:ascii="Times New Roman;Times;serif" w:hAnsi="Times New Roman;Times;serif"/>
          <w:b/>
          <w:sz w:val="20"/>
        </w:rPr>
      </w:pPr>
      <w:bookmarkStart w:id="33" w:name="TOC"/>
      <w:bookmarkStart w:id="34" w:name="_64691b3f_42f8_4485_8a9d_49d11fb23b37"/>
      <w:bookmarkEnd w:id="33"/>
      <w:bookmarkEnd w:id="34"/>
      <w:r>
        <w:rPr>
          <w:rFonts w:ascii="Times New Roman;Times;serif" w:hAnsi="Times New Roman;Times;serif"/>
          <w:b/>
          <w:sz w:val="20"/>
        </w:rPr>
        <w:t>VALHI,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240"/>
        <w:ind w:left="0" w:right="0" w:hanging="0"/>
        <w:jc w:val="both"/>
        <w:rPr/>
      </w:pPr>
      <w:r>
        <w:rPr/>
        <w:t>​</w:t>
      </w:r>
    </w:p>
    <w:tbl>
      <w:tblPr>
        <w:tblW w:w="9604" w:type="dxa"/>
        <w:jc w:val="left"/>
        <w:tblInd w:w="0" w:type="dxa"/>
        <w:tblLayout w:type="fixed"/>
        <w:tblCellMar>
          <w:top w:w="0" w:type="dxa"/>
          <w:left w:w="0" w:type="dxa"/>
          <w:bottom w:w="0" w:type="dxa"/>
          <w:right w:w="0" w:type="dxa"/>
        </w:tblCellMar>
      </w:tblPr>
      <w:tblGrid>
        <w:gridCol w:w="711"/>
        <w:gridCol w:w="25"/>
        <w:gridCol w:w="796"/>
        <w:gridCol w:w="7366"/>
        <w:gridCol w:w="706"/>
      </w:tblGrid>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48310" cy="175260"/>
                      <wp:effectExtent l="0" t="0" r="0" b="0"/>
                      <wp:wrapNone/>
                      <wp:docPr id="11" name="Frame1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1" w:type="dxa"/>
            <w:tcBorders/>
            <w:vAlign w:val="center"/>
          </w:tcPr>
          <w:p>
            <w:pPr>
              <w:pStyle w:val="TableHeading"/>
              <w:bidi w:val="0"/>
              <w:spacing w:before="0" w:after="0"/>
              <w:ind w:left="0" w:right="0" w:hanging="0"/>
              <w:jc w:val="left"/>
              <w:rPr/>
            </w:pPr>
            <w:r>
              <w:rPr/>
              <w:t>​</w:t>
            </w:r>
          </w:p>
        </w:tc>
        <w:tc>
          <w:tcPr>
            <w:tcW w:w="8187" w:type="dxa"/>
            <w:gridSpan w:val="3"/>
            <w:tcBorders/>
            <w:vAlign w:val="center"/>
          </w:tcPr>
          <w:p>
            <w:pPr>
              <w:pStyle w:val="TableHeading"/>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Page</w:t>
            </w:r>
            <w:r>
              <w:rPr>
                <w:rFonts w:ascii="Times New Roman;Times;serif" w:hAnsi="Times New Roman;Times;serif"/>
                <w:b w:val="false"/>
                <w:sz w:val="16"/>
              </w:rPr>
              <w:br/>
            </w:r>
            <w:r>
              <w:rPr>
                <w:rFonts w:ascii="Times New Roman;Times;serif" w:hAnsi="Times New Roman;Times;serif"/>
                <w:b/>
                <w:sz w:val="16"/>
              </w:rPr>
              <w:t>number</w:t>
            </w:r>
          </w:p>
        </w:tc>
      </w:tr>
      <w:tr>
        <w:trPr/>
        <w:tc>
          <w:tcPr>
            <w:tcW w:w="711" w:type="dxa"/>
            <w:tcBorders/>
            <w:vAlign w:val="center"/>
          </w:tcPr>
          <w:p>
            <w:pPr>
              <w:pStyle w:val="TableContents"/>
              <w:bidi w:val="0"/>
              <w:spacing w:before="0" w:after="0"/>
              <w:ind w:left="0" w:right="0" w:hanging="0"/>
              <w:jc w:val="left"/>
              <w:rPr/>
            </w:pPr>
            <w:r>
              <w:rPr/>
              <w:t>​</w:t>
            </w:r>
          </w:p>
        </w:tc>
        <w:tc>
          <w:tcPr>
            <w:tcW w:w="8187" w:type="dxa"/>
            <w:gridSpan w:val="3"/>
            <w:tcBorders/>
            <w:vAlign w:val="center"/>
          </w:tcPr>
          <w:p>
            <w:pPr>
              <w:pStyle w:val="TableContents"/>
              <w:pBdr/>
              <w:bidi w:val="0"/>
              <w:spacing w:before="0" w:after="0"/>
              <w:ind w:left="0" w:right="0" w:hanging="0"/>
              <w:jc w:val="left"/>
              <w:rPr/>
            </w:pPr>
            <w:r>
              <w:rPr/>
              <w:t>​</w:t>
            </w:r>
          </w:p>
        </w:tc>
        <w:tc>
          <w:tcPr>
            <w:tcW w:w="706"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8187" w:type="dxa"/>
            <w:gridSpan w:val="3"/>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BALANCESHEET">
              <w:r>
                <w:rPr>
                  <w:rStyle w:val="InternetLink"/>
                  <w:rFonts w:ascii="Times New Roman;Times;serif" w:hAnsi="Times New Roman;Times;serif"/>
                  <w:b w:val="false"/>
                  <w:i w:val="false"/>
                  <w:caps w:val="false"/>
                  <w:smallCaps w:val="false"/>
                  <w:sz w:val="20"/>
                </w:rPr>
                <w:t xml:space="preserve">Condensed Consolidated Balance Sheets (unaudited) – </w:t>
                <w:br/>
                <w:t xml:space="preserve">December 31, 2025 and June 30, 2026 </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STATEMENTOPERATIONS">
              <w:r>
                <w:rPr>
                  <w:rStyle w:val="InternetLink"/>
                  <w:rFonts w:ascii="Times New Roman;Times;serif" w:hAnsi="Times New Roman;Times;serif"/>
                  <w:b w:val="false"/>
                  <w:i w:val="false"/>
                  <w:caps w:val="false"/>
                  <w:smallCaps w:val="false"/>
                  <w:sz w:val="20"/>
                </w:rPr>
                <w:t xml:space="preserve">Condensed Consolidated Statements of Income (unaudited) – </w:t>
                <w:br/>
                <w:t>Three and six months ended June 30, 2025 and 2026</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 xml:space="preserve">Condensed Consolidated Statements of Comprehensive Income (unaudited) – </w:t>
                <w:br/>
                <w:t>Three and six months ended June 30, 2025 and 2026</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STATEMENTOFEQUITY">
              <w:r>
                <w:rPr>
                  <w:rStyle w:val="InternetLink"/>
                  <w:rFonts w:ascii="Times New Roman;Times;serif" w:hAnsi="Times New Roman;Times;serif"/>
                  <w:b w:val="false"/>
                  <w:i w:val="false"/>
                  <w:caps w:val="false"/>
                  <w:smallCaps w:val="false"/>
                  <w:sz w:val="20"/>
                </w:rPr>
                <w:t xml:space="preserve">Condensed Consolidated Statements of Stockholders’ Equity (unaudited) – </w:t>
                <w:br/>
                <w:t>Three and six months ended June 30, 2025 and 2026</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CASHFLOWS">
              <w:r>
                <w:rPr>
                  <w:rStyle w:val="InternetLink"/>
                  <w:rFonts w:ascii="Times New Roman;Times;serif" w:hAnsi="Times New Roman;Times;serif"/>
                  <w:b w:val="false"/>
                  <w:i w:val="false"/>
                  <w:caps w:val="false"/>
                  <w:smallCaps w:val="false"/>
                  <w:sz w:val="20"/>
                </w:rPr>
                <w:t>Condensed Consolidated Statements of Cash Flows (unaudited) –</w:t>
                <w:br/>
                <w:t>Six months ended June 30, 2025 and 2026</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NOTESTOCONDENSEDCONSOLIDATEDFINSTMTS">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hyperlink w:anchor="ITEM2MANAGEMENTSDISCUSSIONANDANALYSI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pBdr/>
              <w:bidi w:val="0"/>
              <w:spacing w:before="0" w:after="0"/>
              <w:ind w:left="0" w:right="0" w:hanging="0"/>
              <w:jc w:val="left"/>
              <w:rPr/>
            </w:pPr>
            <w:hyperlink w:anchor="MANAGEMENTSDISCUSSIONANDANALYSIS">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pBdr/>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36" w:type="dxa"/>
            <w:gridSpan w:val="2"/>
            <w:tcBorders/>
            <w:vAlign w:val="center"/>
          </w:tcPr>
          <w:p>
            <w:pPr>
              <w:pStyle w:val="TableContents"/>
              <w:pBdr/>
              <w:bidi w:val="0"/>
              <w:spacing w:before="0" w:after="0"/>
              <w:ind w:left="0" w:right="0" w:hanging="0"/>
              <w:jc w:val="left"/>
              <w:rPr/>
            </w:pPr>
            <w:hyperlink w:anchor="PARTIIOTHERINFORMATION">
              <w:r>
                <w:rPr>
                  <w:rStyle w:val="InternetLink"/>
                  <w:rFonts w:ascii="Times New Roman;Times;serif" w:hAnsi="Times New Roman;Times;serif"/>
                  <w:b/>
                  <w:i w:val="false"/>
                  <w:caps w:val="false"/>
                  <w:smallCaps w:val="false"/>
                  <w:sz w:val="20"/>
                </w:rPr>
                <w:t>Part II.</w:t>
              </w:r>
            </w:hyperlink>
          </w:p>
        </w:tc>
        <w:tc>
          <w:tcPr>
            <w:tcW w:w="8162" w:type="dxa"/>
            <w:gridSpan w:val="2"/>
            <w:tcBorders/>
            <w:vAlign w:val="center"/>
          </w:tcPr>
          <w:p>
            <w:pPr>
              <w:pStyle w:val="TableContents"/>
              <w:pBdr/>
              <w:bidi w:val="0"/>
              <w:spacing w:before="0" w:after="0"/>
              <w:ind w:left="0" w:right="0" w:hanging="0"/>
              <w:jc w:val="left"/>
              <w:rPr/>
            </w:pPr>
            <w:hyperlink w:anchor="PARTIIOTHERINFORMATION">
              <w:r>
                <w:rPr>
                  <w:rStyle w:val="InternetLink"/>
                  <w:rFonts w:ascii="Times New Roman;Times;serif" w:hAnsi="Times New Roman;Times;serif"/>
                  <w:b/>
                  <w:i w:val="false"/>
                  <w:caps w:val="false"/>
                  <w:smallCaps w:val="false"/>
                  <w:sz w:val="20"/>
                </w:rPr>
                <w:t>OTHER INFORMATION</w:t>
              </w:r>
            </w:hyperlink>
          </w:p>
        </w:tc>
        <w:tc>
          <w:tcPr>
            <w:tcW w:w="706" w:type="dxa"/>
            <w:tcBorders/>
            <w:vAlign w:val="center"/>
          </w:tcPr>
          <w:p>
            <w:pPr>
              <w:pStyle w:val="TableContents"/>
              <w:bidi w:val="0"/>
              <w:spacing w:before="0" w:after="0"/>
              <w:ind w:left="0" w:right="0" w:hanging="0"/>
              <w:jc w:val="right"/>
              <w:rPr/>
            </w:pPr>
            <w:r>
              <w:rPr/>
              <w:t>​</w:t>
            </w:r>
          </w:p>
        </w:tc>
      </w:tr>
      <w:tr>
        <w:trPr/>
        <w:tc>
          <w:tcPr>
            <w:tcW w:w="736" w:type="dxa"/>
            <w:gridSpan w:val="2"/>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36" w:type="dxa"/>
            <w:gridSpan w:val="2"/>
            <w:tcBorders/>
            <w:vAlign w:val="center"/>
          </w:tcPr>
          <w:p>
            <w:pPr>
              <w:pStyle w:val="TableContents"/>
              <w:pBdr/>
              <w:bidi w:val="0"/>
              <w:spacing w:before="0" w:after="0"/>
              <w:ind w:left="0" w:right="0" w:hanging="0"/>
              <w:jc w:val="left"/>
              <w:rPr/>
            </w:pPr>
            <w:r>
              <w:rPr/>
              <w:t>​</w:t>
            </w:r>
          </w:p>
        </w:tc>
        <w:tc>
          <w:tcPr>
            <w:tcW w:w="796" w:type="dxa"/>
            <w:tcBorders/>
            <w:vAlign w:val="center"/>
          </w:tcPr>
          <w:p>
            <w:pPr>
              <w:pStyle w:val="TableContents"/>
              <w:pBdr/>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pBdr/>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36" w:type="dxa"/>
            <w:gridSpan w:val="2"/>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36" w:type="dxa"/>
            <w:gridSpan w:val="2"/>
            <w:tcBorders/>
            <w:vAlign w:val="center"/>
          </w:tcPr>
          <w:p>
            <w:pPr>
              <w:pStyle w:val="TableContents"/>
              <w:pBdr/>
              <w:bidi w:val="0"/>
              <w:spacing w:before="0" w:after="0"/>
              <w:ind w:left="0" w:right="0" w:hanging="0"/>
              <w:jc w:val="left"/>
              <w:rPr/>
            </w:pPr>
            <w:r>
              <w:rPr/>
              <w:t>​</w:t>
            </w:r>
          </w:p>
        </w:tc>
        <w:tc>
          <w:tcPr>
            <w:tcW w:w="796" w:type="dxa"/>
            <w:tcBorders/>
            <w:vAlign w:val="center"/>
          </w:tcPr>
          <w:p>
            <w:pPr>
              <w:pStyle w:val="TableContents"/>
              <w:pBdr/>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pBdr/>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Risk Factors</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36" w:type="dxa"/>
            <w:gridSpan w:val="2"/>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36" w:type="dxa"/>
            <w:gridSpan w:val="2"/>
            <w:tcBorders/>
            <w:vAlign w:val="center"/>
          </w:tcPr>
          <w:p>
            <w:pPr>
              <w:pStyle w:val="TableContents"/>
              <w:pBdr/>
              <w:bidi w:val="0"/>
              <w:spacing w:before="0" w:after="0"/>
              <w:ind w:left="0" w:right="0" w:hanging="0"/>
              <w:jc w:val="left"/>
              <w:rPr/>
            </w:pPr>
            <w:r>
              <w:rPr/>
              <w:t>​</w:t>
            </w:r>
          </w:p>
        </w:tc>
        <w:tc>
          <w:tcPr>
            <w:tcW w:w="796" w:type="dxa"/>
            <w:tcBorders/>
            <w:vAlign w:val="center"/>
          </w:tcPr>
          <w:p>
            <w:pPr>
              <w:pStyle w:val="TableContents"/>
              <w:pBdr/>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pBdr/>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Exhibits</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Items 2, 3, 4 and 5 of Part II are omitted because there is no information to report.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3">
                <wp:simplePos x="0" y="0"/>
                <wp:positionH relativeFrom="page">
                  <wp:posOffset>0</wp:posOffset>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120"/>
        <w:ind w:left="0" w:right="0" w:hanging="0"/>
        <w:jc w:val="center"/>
        <w:rPr>
          <w:rFonts w:ascii="Times New Roman;Times;serif" w:hAnsi="Times New Roman;Times;serif"/>
          <w:b/>
          <w:sz w:val="20"/>
        </w:rPr>
      </w:pPr>
      <w:bookmarkStart w:id="35" w:name="_bacf9fb0_493b_4af8_b670_be157267e5f0"/>
      <w:bookmarkEnd w:id="35"/>
      <w:r>
        <w:rPr>
          <w:rFonts w:ascii="Times New Roman;Times;serif" w:hAnsi="Times New Roman;Times;serif"/>
          <w:b/>
          <w:sz w:val="20"/>
        </w:rPr>
        <w:t>VALHI, INC. AND SUBSIDIARIES</w:t>
      </w:r>
    </w:p>
    <w:p>
      <w:pPr>
        <w:pStyle w:val="TextBody"/>
        <w:bidi w:val="0"/>
        <w:spacing w:before="0" w:after="120"/>
        <w:ind w:left="0" w:right="0" w:hanging="0"/>
        <w:jc w:val="center"/>
        <w:rPr>
          <w:rFonts w:ascii="Times New Roman;Times;serif" w:hAnsi="Times New Roman;Times;serif"/>
          <w:b/>
          <w:sz w:val="20"/>
        </w:rPr>
      </w:pPr>
      <w:bookmarkStart w:id="36" w:name="CONDENSEDCONSOLIDATEDBALANCESHEET"/>
      <w:bookmarkEnd w:id="3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Normal"/>
        <w:bidi w:val="0"/>
        <w:spacing w:before="0" w:after="0"/>
        <w:jc w:val="left"/>
        <w:rPr>
          <w:sz w:val="4"/>
          <w:szCs w:val="4"/>
        </w:rPr>
      </w:pPr>
      <w:r>
        <w:rPr>
          <w:sz w:val="4"/>
          <w:szCs w:val="4"/>
        </w:rPr>
      </w:r>
      <w:bookmarkStart w:id="37" w:name="Tc_M91zYoN_dE-TzZGYCuyCcw_29_5"/>
      <w:bookmarkStart w:id="38" w:name="Tc_hrxCDcPL0ECUBMJIqGVTeA_29_2"/>
      <w:bookmarkStart w:id="39" w:name="Tc_bGzgwYaGT0OjXKYw7Ki7QQ_29_0"/>
      <w:bookmarkStart w:id="40" w:name="Tc_yF7UADrHWUq4wFvWJErGaA_28_0"/>
      <w:bookmarkStart w:id="41" w:name="Tc_usMTAVapd0STlThsij-rqQ_27_0"/>
      <w:bookmarkStart w:id="42" w:name="Tc_cVA-NMKL30Sr73LCchzgMQ_25_0"/>
      <w:bookmarkStart w:id="43" w:name="Tc_QD7RzjS7skOblYwf9-WG8g_24_0"/>
      <w:bookmarkStart w:id="44" w:name="Tc_swAkyGvHc0OmspGdCFm-kw_23_0"/>
      <w:bookmarkStart w:id="45" w:name="Tc_HvR2GftzPUiG6ddfL2xCsQ_22_0"/>
      <w:bookmarkStart w:id="46" w:name="Tc_6z7v-q3IWUO0N5yvxATg5Q_21_0"/>
      <w:bookmarkStart w:id="47" w:name="Tc_OckCynjm80axxC46aryBwQ_20_0"/>
      <w:bookmarkStart w:id="48" w:name="Tc_jzKVmIvIAUOLLmgt1cho4g_18_0"/>
      <w:bookmarkStart w:id="49" w:name="Tc_pzCkrn6TxEatZFs979D81Q_17_0"/>
      <w:bookmarkStart w:id="50" w:name="Tc_qbwcyJkagUiTA1hIsWUhXQ_16_0"/>
      <w:bookmarkStart w:id="51" w:name="Tc_eHH50LhMOk6cQD1phsq6tg_15_0"/>
      <w:bookmarkStart w:id="52" w:name="Tc_RlWsLFAf30GmDn7iGhq0TA_14_0"/>
      <w:bookmarkStart w:id="53" w:name="Tc_h_QRNZ2ypUWmdRsxRceVeA_13_0"/>
      <w:bookmarkStart w:id="54" w:name="Tc_DcNdKJHcAkmkgNAU-WsiTw_12_0"/>
      <w:bookmarkStart w:id="55" w:name="Tc_5zTZb3NXrU6RITsajYlj_Q_10_0"/>
      <w:bookmarkStart w:id="56" w:name="Tc_ApJixwetUE-WE9VR080XhA_9_0"/>
      <w:bookmarkStart w:id="57" w:name="Tc_B8Zy5gULRUC_lMHYWOFpcA_8_0"/>
      <w:bookmarkStart w:id="58" w:name="Tc_w8ro90MvlkaNBQiMABIhog_7_0"/>
      <w:bookmarkStart w:id="59" w:name="Tc_IVHzCoPdrUKgXog57WV16A_6_0"/>
      <w:bookmarkStart w:id="60" w:name="Tc_3BdaRm5FMUyuGEBbM8kR7A_5_0"/>
      <w:bookmarkStart w:id="61" w:name="Tc_r_XoyciyME6aBLxOC1m1eA_4_5"/>
      <w:bookmarkStart w:id="62" w:name="Tc_dktC-6zfBkyiV-lNr4RHNA_4_2"/>
      <w:bookmarkStart w:id="63" w:name="Tc_7l4e9QBPc0eeFAyFvpw38A_4_0"/>
      <w:bookmarkStart w:id="64" w:name="Tc_vfAkbcc11Uy6voXQMfWM6Q_3_0"/>
      <w:bookmarkStart w:id="65" w:name="Tc_QAN_RsghUUys5BO-duRcVA_2_5"/>
      <w:bookmarkStart w:id="66" w:name="Tc__mWfzZ6P4EyEFZlhVcPIbQ_2_2"/>
      <w:bookmarkStart w:id="67" w:name="Tc_Xc6C_wYmI0KYQu1b2FqoKw_1_5"/>
      <w:bookmarkStart w:id="68" w:name="Tc_BUNsTNo_4UWY-7GlGdo3tw_1_2"/>
      <w:bookmarkStart w:id="69" w:name="Tc_EPnAuaKj70SEGpO53kCVCg_1_0"/>
      <w:bookmarkStart w:id="70" w:name="_f5107d1b_6ab3_46db_a976_cce8c2e1fbb9"/>
      <w:bookmarkStart w:id="71" w:name="Tc_M91zYoN_dE-TzZGYCuyCcw_29_5"/>
      <w:bookmarkStart w:id="72" w:name="Tc_hrxCDcPL0ECUBMJIqGVTeA_29_2"/>
      <w:bookmarkStart w:id="73" w:name="Tc_bGzgwYaGT0OjXKYw7Ki7QQ_29_0"/>
      <w:bookmarkStart w:id="74" w:name="Tc_yF7UADrHWUq4wFvWJErGaA_28_0"/>
      <w:bookmarkStart w:id="75" w:name="Tc_usMTAVapd0STlThsij-rqQ_27_0"/>
      <w:bookmarkStart w:id="76" w:name="Tc_cVA-NMKL30Sr73LCchzgMQ_25_0"/>
      <w:bookmarkStart w:id="77" w:name="Tc_QD7RzjS7skOblYwf9-WG8g_24_0"/>
      <w:bookmarkStart w:id="78" w:name="Tc_swAkyGvHc0OmspGdCFm-kw_23_0"/>
      <w:bookmarkStart w:id="79" w:name="Tc_HvR2GftzPUiG6ddfL2xCsQ_22_0"/>
      <w:bookmarkStart w:id="80" w:name="Tc_6z7v-q3IWUO0N5yvxATg5Q_21_0"/>
      <w:bookmarkStart w:id="81" w:name="Tc_OckCynjm80axxC46aryBwQ_20_0"/>
      <w:bookmarkStart w:id="82" w:name="Tc_jzKVmIvIAUOLLmgt1cho4g_18_0"/>
      <w:bookmarkStart w:id="83" w:name="Tc_pzCkrn6TxEatZFs979D81Q_17_0"/>
      <w:bookmarkStart w:id="84" w:name="Tc_qbwcyJkagUiTA1hIsWUhXQ_16_0"/>
      <w:bookmarkStart w:id="85" w:name="Tc_eHH50LhMOk6cQD1phsq6tg_15_0"/>
      <w:bookmarkStart w:id="86" w:name="Tc_RlWsLFAf30GmDn7iGhq0TA_14_0"/>
      <w:bookmarkStart w:id="87" w:name="Tc_h_QRNZ2ypUWmdRsxRceVeA_13_0"/>
      <w:bookmarkStart w:id="88" w:name="Tc_DcNdKJHcAkmkgNAU-WsiTw_12_0"/>
      <w:bookmarkStart w:id="89" w:name="Tc_5zTZb3NXrU6RITsajYlj_Q_10_0"/>
      <w:bookmarkStart w:id="90" w:name="Tc_ApJixwetUE-WE9VR080XhA_9_0"/>
      <w:bookmarkStart w:id="91" w:name="Tc_B8Zy5gULRUC_lMHYWOFpcA_8_0"/>
      <w:bookmarkStart w:id="92" w:name="Tc_w8ro90MvlkaNBQiMABIhog_7_0"/>
      <w:bookmarkStart w:id="93" w:name="Tc_IVHzCoPdrUKgXog57WV16A_6_0"/>
      <w:bookmarkStart w:id="94" w:name="Tc_3BdaRm5FMUyuGEBbM8kR7A_5_0"/>
      <w:bookmarkStart w:id="95" w:name="Tc_r_XoyciyME6aBLxOC1m1eA_4_5"/>
      <w:bookmarkStart w:id="96" w:name="Tc_dktC-6zfBkyiV-lNr4RHNA_4_2"/>
      <w:bookmarkStart w:id="97" w:name="Tc_7l4e9QBPc0eeFAyFvpw38A_4_0"/>
      <w:bookmarkStart w:id="98" w:name="Tc_vfAkbcc11Uy6voXQMfWM6Q_3_0"/>
      <w:bookmarkStart w:id="99" w:name="Tc_QAN_RsghUUys5BO-duRcVA_2_5"/>
      <w:bookmarkStart w:id="100" w:name="Tc__mWfzZ6P4EyEFZlhVcPIbQ_2_2"/>
      <w:bookmarkStart w:id="101" w:name="Tc_Xc6C_wYmI0KYQu1b2FqoKw_1_5"/>
      <w:bookmarkStart w:id="102" w:name="Tc_BUNsTNo_4UWY-7GlGdo3tw_1_2"/>
      <w:bookmarkStart w:id="103" w:name="Tc_EPnAuaKj70SEGpO53kCVCg_1_0"/>
      <w:bookmarkStart w:id="104" w:name="_f5107d1b_6ab3_46db_a976_cce8c2e1fbb9"/>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tbl>
      <w:tblPr>
        <w:tblW w:w="7895" w:type="dxa"/>
        <w:jc w:val="left"/>
        <w:tblInd w:w="0" w:type="dxa"/>
        <w:tblLayout w:type="fixed"/>
        <w:tblCellMar>
          <w:top w:w="0" w:type="dxa"/>
          <w:left w:w="0" w:type="dxa"/>
          <w:bottom w:w="0" w:type="dxa"/>
          <w:right w:w="0" w:type="dxa"/>
        </w:tblCellMar>
      </w:tblPr>
      <w:tblGrid>
        <w:gridCol w:w="4861"/>
        <w:gridCol w:w="346"/>
        <w:gridCol w:w="295"/>
        <w:gridCol w:w="1010"/>
        <w:gridCol w:w="346"/>
        <w:gridCol w:w="211"/>
        <w:gridCol w:w="826"/>
      </w:tblGrid>
      <w:tr>
        <w:trP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086735" cy="175260"/>
                      <wp:effectExtent l="0" t="0" r="0" b="0"/>
                      <wp:wrapNone/>
                      <wp:docPr id="13" name="Frame13"/>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87325" cy="175260"/>
                      <wp:effectExtent l="0" t="0" r="0" b="0"/>
                      <wp:wrapNone/>
                      <wp:docPr id="15" name="Frame15"/>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1350" cy="175260"/>
                      <wp:effectExtent l="0" t="0" r="0" b="0"/>
                      <wp:wrapNone/>
                      <wp:docPr id="16" name="Frame16"/>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24510" cy="175260"/>
                      <wp:effectExtent l="0" t="0" r="0" b="0"/>
                      <wp:wrapNone/>
                      <wp:docPr id="19" name="Frame1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8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209.7</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 net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434.2</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530.9</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32.9</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1,217.0</w:t>
            </w:r>
          </w:p>
        </w:tc>
      </w:tr>
      <w:tr>
        <w:trPr/>
        <w:tc>
          <w:tcPr>
            <w:tcW w:w="48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382.3</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24.1</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receivables - Owner Participation Agreement ("OPA")</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125.2</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87.2</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625.3</w:t>
            </w:r>
          </w:p>
        </w:tc>
      </w:tr>
      <w:tr>
        <w:trPr/>
        <w:tc>
          <w:tcPr>
            <w:tcW w:w="48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77.4</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295.9</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1,420.7</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Mining properties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93.2</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50.4</w:t>
            </w:r>
          </w:p>
        </w:tc>
      </w:tr>
      <w:tr>
        <w:trPr/>
        <w:tc>
          <w:tcPr>
            <w:tcW w:w="4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1,937.6</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1,205.2</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732.4</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2,574.7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1">
                <wp:simplePos x="0" y="0"/>
                <wp:positionH relativeFrom="page">
                  <wp:posOffset>0</wp:posOffset>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VALHI, INC. AND SUBSIDIARIES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Normal"/>
        <w:bidi w:val="0"/>
        <w:spacing w:before="0" w:after="0"/>
        <w:jc w:val="left"/>
        <w:rPr>
          <w:sz w:val="4"/>
          <w:szCs w:val="4"/>
        </w:rPr>
      </w:pPr>
      <w:r>
        <w:rPr>
          <w:sz w:val="4"/>
          <w:szCs w:val="4"/>
        </w:rPr>
      </w:r>
      <w:bookmarkStart w:id="105" w:name="Tc_vV5LfsIRg0CZ8yvcrUWE_A_27_5"/>
      <w:bookmarkStart w:id="106" w:name="Tc_VUZk_V7BwU6kC6SVjmM4DQ_27_2"/>
      <w:bookmarkStart w:id="107" w:name="Tc_BlUMZByCSUejkyojaI_3WQ_27_0"/>
      <w:bookmarkStart w:id="108" w:name="Tc_tBYCYvZIUEOgFsqbZe77mg_26_0"/>
      <w:bookmarkStart w:id="109" w:name="Tc_jWIvq3j380SknXEUXnTjRQ_25_0"/>
      <w:bookmarkStart w:id="110" w:name="Tc_KxtYGyZu7Emij_q9xC8R_Q_24_0"/>
      <w:bookmarkStart w:id="111" w:name="Tc_WAAyQGibD0qpFwd2REmvHQ_23_0"/>
      <w:bookmarkStart w:id="112" w:name="Tc_x7BbxX5YakuFh2Dg1ZBNcA_22_0"/>
      <w:bookmarkStart w:id="113" w:name="Tc_eErw3bXzOUeUDbrrMJ2Cxw_21_0"/>
      <w:bookmarkStart w:id="114" w:name="Tc_dGZ6Z9Zn2kytxkFTIFQ3-g_20_0"/>
      <w:bookmarkStart w:id="115" w:name="Tc_qbuu1hKa4U-fQBZfh9F7uA_19_0"/>
      <w:bookmarkStart w:id="116" w:name="Tc_REQcPy2WbUe3vFnb5Nlr9A_18_0"/>
      <w:bookmarkStart w:id="117" w:name="Tc_lvjPhcJEx0C_-yDvRYdldg_17_0"/>
      <w:bookmarkStart w:id="118" w:name="Tc_-qWzV2xnYEqZWCcMMz6RMQ_15_0"/>
      <w:bookmarkStart w:id="119" w:name="Tc_w6DcyOzKLUad4kt26ntW_A_14_0"/>
      <w:bookmarkStart w:id="120" w:name="Tc_xDIrykmXKkWgUwU1kJJ31g_13_0"/>
      <w:bookmarkStart w:id="121" w:name="Tc_Ffsy5lna2Ee_EXEU8PS0UA_12_0"/>
      <w:bookmarkStart w:id="122" w:name="Tc_lZxChfGuYEqBPMr1WTzv8A_11_0"/>
      <w:bookmarkStart w:id="123" w:name="Tc_xN_Z-qosDE2rDsz_y6VkcA_10_0"/>
      <w:bookmarkStart w:id="124" w:name="Tc_yslcmuJiGEWjs-w0viKyHg_9_0"/>
      <w:bookmarkStart w:id="125" w:name="Tc_F9jgSA5qskW8SkbmBcc5YQ_7_0"/>
      <w:bookmarkStart w:id="126" w:name="Tc_UTXlxuVF9kyguuYvMlRm3g_6_0"/>
      <w:bookmarkStart w:id="127" w:name="Tc_r66lyDrgwE-_YmG3KFoqvQ_5_0"/>
      <w:bookmarkStart w:id="128" w:name="Tc_QuvgYmhNnUWFxMWDlQfcbQ_4_5"/>
      <w:bookmarkStart w:id="129" w:name="Tc_zybhEHUZ8kSIp_wzsSSCzA_4_2"/>
      <w:bookmarkStart w:id="130" w:name="Tc_tKg2ne59FUi-paxkeubi3A_4_0"/>
      <w:bookmarkStart w:id="131" w:name="Tc_afJleP5OAUGfjxdgmoAXDw_3_0"/>
      <w:bookmarkStart w:id="132" w:name="Tc_BZbaPvRhgEqKBVIQxRkypA_2_5"/>
      <w:bookmarkStart w:id="133" w:name="Tc_DS7fNlrhaEGsEu2Gir507g_2_2"/>
      <w:bookmarkStart w:id="134" w:name="Tc_yvLO3UFB8EW7a_TVXW5W7A_1_5"/>
      <w:bookmarkStart w:id="135" w:name="Tc_8SAq1CZtkkyX_pnQJJW3KQ_1_2"/>
      <w:bookmarkStart w:id="136" w:name="Tc_Ei-_97OiDUeI2uK0EXNNwA_1_0"/>
      <w:bookmarkStart w:id="137" w:name="_22eadc1a_3505_4cf8_b7eb_cd5985cfbeb2"/>
      <w:bookmarkStart w:id="138" w:name="Tc_vV5LfsIRg0CZ8yvcrUWE_A_27_5"/>
      <w:bookmarkStart w:id="139" w:name="Tc_VUZk_V7BwU6kC6SVjmM4DQ_27_2"/>
      <w:bookmarkStart w:id="140" w:name="Tc_BlUMZByCSUejkyojaI_3WQ_27_0"/>
      <w:bookmarkStart w:id="141" w:name="Tc_tBYCYvZIUEOgFsqbZe77mg_26_0"/>
      <w:bookmarkStart w:id="142" w:name="Tc_jWIvq3j380SknXEUXnTjRQ_25_0"/>
      <w:bookmarkStart w:id="143" w:name="Tc_KxtYGyZu7Emij_q9xC8R_Q_24_0"/>
      <w:bookmarkStart w:id="144" w:name="Tc_WAAyQGibD0qpFwd2REmvHQ_23_0"/>
      <w:bookmarkStart w:id="145" w:name="Tc_x7BbxX5YakuFh2Dg1ZBNcA_22_0"/>
      <w:bookmarkStart w:id="146" w:name="Tc_eErw3bXzOUeUDbrrMJ2Cxw_21_0"/>
      <w:bookmarkStart w:id="147" w:name="Tc_dGZ6Z9Zn2kytxkFTIFQ3-g_20_0"/>
      <w:bookmarkStart w:id="148" w:name="Tc_qbuu1hKa4U-fQBZfh9F7uA_19_0"/>
      <w:bookmarkStart w:id="149" w:name="Tc_REQcPy2WbUe3vFnb5Nlr9A_18_0"/>
      <w:bookmarkStart w:id="150" w:name="Tc_lvjPhcJEx0C_-yDvRYdldg_17_0"/>
      <w:bookmarkStart w:id="151" w:name="Tc_-qWzV2xnYEqZWCcMMz6RMQ_15_0"/>
      <w:bookmarkStart w:id="152" w:name="Tc_w6DcyOzKLUad4kt26ntW_A_14_0"/>
      <w:bookmarkStart w:id="153" w:name="Tc_xDIrykmXKkWgUwU1kJJ31g_13_0"/>
      <w:bookmarkStart w:id="154" w:name="Tc_Ffsy5lna2Ee_EXEU8PS0UA_12_0"/>
      <w:bookmarkStart w:id="155" w:name="Tc_lZxChfGuYEqBPMr1WTzv8A_11_0"/>
      <w:bookmarkStart w:id="156" w:name="Tc_xN_Z-qosDE2rDsz_y6VkcA_10_0"/>
      <w:bookmarkStart w:id="157" w:name="Tc_yslcmuJiGEWjs-w0viKyHg_9_0"/>
      <w:bookmarkStart w:id="158" w:name="Tc_F9jgSA5qskW8SkbmBcc5YQ_7_0"/>
      <w:bookmarkStart w:id="159" w:name="Tc_UTXlxuVF9kyguuYvMlRm3g_6_0"/>
      <w:bookmarkStart w:id="160" w:name="Tc_r66lyDrgwE-_YmG3KFoqvQ_5_0"/>
      <w:bookmarkStart w:id="161" w:name="Tc_QuvgYmhNnUWFxMWDlQfcbQ_4_5"/>
      <w:bookmarkStart w:id="162" w:name="Tc_zybhEHUZ8kSIp_wzsSSCzA_4_2"/>
      <w:bookmarkStart w:id="163" w:name="Tc_tKg2ne59FUi-paxkeubi3A_4_0"/>
      <w:bookmarkStart w:id="164" w:name="Tc_afJleP5OAUGfjxdgmoAXDw_3_0"/>
      <w:bookmarkStart w:id="165" w:name="Tc_BZbaPvRhgEqKBVIQxRkypA_2_5"/>
      <w:bookmarkStart w:id="166" w:name="Tc_DS7fNlrhaEGsEu2Gir507g_2_2"/>
      <w:bookmarkStart w:id="167" w:name="Tc_yvLO3UFB8EW7a_TVXW5W7A_1_5"/>
      <w:bookmarkStart w:id="168" w:name="Tc_8SAq1CZtkkyX_pnQJJW3KQ_1_2"/>
      <w:bookmarkStart w:id="169" w:name="Tc_Ei-_97OiDUeI2uK0EXNNwA_1_0"/>
      <w:bookmarkStart w:id="170" w:name="_22eadc1a_3505_4cf8_b7eb_cd5985cfbeb2"/>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tbl>
      <w:tblPr>
        <w:tblW w:w="10205" w:type="dxa"/>
        <w:jc w:val="left"/>
        <w:tblInd w:w="0" w:type="dxa"/>
        <w:tblLayout w:type="fixed"/>
        <w:tblCellMar>
          <w:top w:w="0" w:type="dxa"/>
          <w:left w:w="0" w:type="dxa"/>
          <w:bottom w:w="0" w:type="dxa"/>
          <w:right w:w="0" w:type="dxa"/>
        </w:tblCellMar>
      </w:tblPr>
      <w:tblGrid>
        <w:gridCol w:w="7206"/>
        <w:gridCol w:w="346"/>
        <w:gridCol w:w="287"/>
        <w:gridCol w:w="982"/>
        <w:gridCol w:w="346"/>
        <w:gridCol w:w="211"/>
        <w:gridCol w:w="827"/>
      </w:tblGrid>
      <w:tr>
        <w:trPr/>
        <w:tc>
          <w:tcPr>
            <w:tcW w:w="7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575810" cy="175260"/>
                      <wp:effectExtent l="0" t="0" r="0" b="0"/>
                      <wp:wrapNone/>
                      <wp:docPr id="21" name="Frame21"/>
                      <a:graphic xmlns:a="http://schemas.openxmlformats.org/drawingml/2006/main">
                        <a:graphicData uri="http://schemas.microsoft.com/office/word/2010/wordprocessingShape">
                          <wps:wsp>
                            <wps:cNvSpPr txBox="1"/>
                            <wps:spPr>
                              <a:xfrm>
                                <a:off x="0" y="0"/>
                                <a:ext cx="457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82245" cy="175260"/>
                      <wp:effectExtent l="0" t="0" r="0" b="0"/>
                      <wp:wrapNone/>
                      <wp:docPr id="23" name="Frame23"/>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23570" cy="175260"/>
                      <wp:effectExtent l="0" t="0" r="0" b="0"/>
                      <wp:wrapNone/>
                      <wp:docPr id="24" name="Frame24"/>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25145" cy="175260"/>
                      <wp:effectExtent l="0" t="0" r="0" b="0"/>
                      <wp:wrapNone/>
                      <wp:docPr id="27" name="Frame27"/>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26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03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72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87"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pPr>
            <w:r>
              <w:rPr/>
              <w:t>  ​</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maturities of long-term debt</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355.7</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361.2</w:t>
            </w:r>
          </w:p>
        </w:tc>
      </w:tr>
      <w:tr>
        <w:trPr/>
        <w:tc>
          <w:tcPr>
            <w:tcW w:w="7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pPr>
            <w:r>
              <w:rPr/>
              <w:t>​</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9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pPr>
            <w:r>
              <w:rPr/>
              <w:t>  ​</w:t>
            </w:r>
          </w:p>
        </w:tc>
      </w:tr>
      <w:tr>
        <w:trPr/>
        <w:tc>
          <w:tcPr>
            <w:tcW w:w="72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(including affiliate debt of $77.3 million and $61.3 million at December 31, 2025 and June 30, 2026, respectively)</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586.7</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pension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73.7</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environmental remediation and related costs</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58.0</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81.3</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814.2</w:t>
            </w:r>
          </w:p>
        </w:tc>
      </w:tr>
      <w:tr>
        <w:trPr/>
        <w:tc>
          <w:tcPr>
            <w:tcW w:w="7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pPr>
            <w:r>
              <w:rPr/>
              <w:t>​</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9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pPr>
            <w:r>
              <w:rPr/>
              <w:t>  ​</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982"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671.2</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527.8</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(105.5)</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(49.6)</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Valhi stockholders' equity</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1,044.2</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in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355.1</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1,399.3</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2,574.7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171" w:name="Narr_Y0vMcjxt8EWNJ0blz9zCmA"/>
      <w:bookmarkStart w:id="172" w:name="Narr_fBAi1scuOEuQHsoIZsjEzQ"/>
      <w:bookmarkEnd w:id="171"/>
      <w:bookmarkEnd w:id="172"/>
      <w:r>
        <w:rPr>
          <w:rFonts w:ascii="Times New Roman;Times;serif" w:hAnsi="Times New Roman;Times;serif"/>
          <w:sz w:val="20"/>
        </w:rPr>
        <w:t>Commitments and contingencies (Notes 13 and 16)</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9">
                <wp:simplePos x="0" y="0"/>
                <wp:positionH relativeFrom="page">
                  <wp:posOffset>0</wp:posOffset>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120"/>
        <w:ind w:left="0" w:right="0" w:hanging="0"/>
        <w:jc w:val="center"/>
        <w:rPr>
          <w:rFonts w:ascii="Times New Roman;Times;serif" w:hAnsi="Times New Roman;Times;serif"/>
          <w:b/>
          <w:sz w:val="20"/>
        </w:rPr>
      </w:pPr>
      <w:bookmarkStart w:id="173" w:name="_79c4cae9_2c8d_4fef_b04f_f039273c1e3c"/>
      <w:bookmarkEnd w:id="173"/>
      <w:r>
        <w:rPr>
          <w:rFonts w:ascii="Times New Roman;Times;serif" w:hAnsi="Times New Roman;Times;serif"/>
          <w:b/>
          <w:sz w:val="20"/>
        </w:rPr>
        <w:t>VALHI, INC. AND SUBSIDIARIES</w:t>
      </w:r>
    </w:p>
    <w:p>
      <w:pPr>
        <w:pStyle w:val="TextBody"/>
        <w:bidi w:val="0"/>
        <w:spacing w:before="0" w:after="120"/>
        <w:ind w:left="0" w:right="0" w:hanging="0"/>
        <w:jc w:val="center"/>
        <w:rPr>
          <w:rFonts w:ascii="Times New Roman;Times;serif" w:hAnsi="Times New Roman;Times;serif"/>
          <w:b/>
          <w:sz w:val="20"/>
        </w:rPr>
      </w:pPr>
      <w:bookmarkStart w:id="174" w:name="CONDENSEDCONSOLIDATEDSTATEMENTOPERATIONS"/>
      <w:bookmarkEnd w:id="174"/>
      <w:r>
        <w:rPr>
          <w:rFonts w:ascii="Times New Roman;Times;serif" w:hAnsi="Times New Roman;Times;serif"/>
          <w:b/>
          <w:sz w:val="20"/>
        </w:rPr>
        <w:t>CONDENSED CONSOLIDATED STATEMENTS OF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millions, except per share data)</w:t>
      </w:r>
    </w:p>
    <w:p>
      <w:pPr>
        <w:pStyle w:val="Normal"/>
        <w:bidi w:val="0"/>
        <w:spacing w:before="0" w:after="0"/>
        <w:jc w:val="left"/>
        <w:rPr>
          <w:sz w:val="4"/>
          <w:szCs w:val="4"/>
        </w:rPr>
      </w:pPr>
      <w:r>
        <w:rPr>
          <w:sz w:val="4"/>
          <w:szCs w:val="4"/>
        </w:rPr>
      </w:r>
      <w:bookmarkStart w:id="175" w:name="Tc_4TY5ZTNqjU620B5ZWqHL8g_25_0"/>
      <w:bookmarkStart w:id="176" w:name="Tc_VQn-EoZ13UieJi-yvoCy5A_23_11"/>
      <w:bookmarkStart w:id="177" w:name="Tc_lVABblQhkE6MDSVdclggSQ_23_8"/>
      <w:bookmarkStart w:id="178" w:name="Tc_0xQZw7XWCE2VTpY8z9Vk3g_23_5"/>
      <w:bookmarkStart w:id="179" w:name="Tc_ftjTzi7fO0aIbttMFRIYlQ_23_2"/>
      <w:bookmarkStart w:id="180" w:name="Tc_9CuaxCUwGUaaTt8HbN7NxA_23_0"/>
      <w:bookmarkStart w:id="181" w:name="Tc_BqsFY_R60UuCxF9Oa94DOg_22_0"/>
      <w:bookmarkStart w:id="182" w:name="Tc_a-oqD8-LxESkcsWcfj66Hg_20_11"/>
      <w:bookmarkStart w:id="183" w:name="Tc_S3dfPfF4-0OpX6cDyWbxGA_20_8"/>
      <w:bookmarkStart w:id="184" w:name="Tc_68-SPT1irEiUClmkT0HckA_20_5"/>
      <w:bookmarkStart w:id="185" w:name="Tc_HT3rzs1ECk-h8X1OFl6zAQ_20_2"/>
      <w:bookmarkStart w:id="186" w:name="Tc_O5JZOTPDJUGyABFCmfeS7Q_20_0"/>
      <w:bookmarkStart w:id="187" w:name="Tc_nM7qEaxxYkyVirloivBfjw_19_0"/>
      <w:bookmarkStart w:id="188" w:name="Tc_3LDtoX5uTkqFkJeuwS_Cbg_18_0"/>
      <w:bookmarkStart w:id="189" w:name="Tc_7Ut-b9rtQEObTTTxjAMOYA_17_0"/>
      <w:bookmarkStart w:id="190" w:name="Tc_kXMBBza3tU6x36oj7wHnCg_16_0"/>
      <w:bookmarkStart w:id="191" w:name="Tc_sZE8Sv8lW06Qp0BFizW1Qw_14_0"/>
      <w:bookmarkStart w:id="192" w:name="Tc_-3Zt0pUHkE2PPBxP94yYQw_13_0"/>
      <w:bookmarkStart w:id="193" w:name="Tc_90RFAZQZ-0OzeKgscHSuIQ_12_0"/>
      <w:bookmarkStart w:id="194" w:name="Tc_WLQUgpZNJEqSnSU25V9RVg_11_0"/>
      <w:bookmarkStart w:id="195" w:name="Tc_31SHV8dSs0idnoYL46gwmw_10_0"/>
      <w:bookmarkStart w:id="196" w:name="Tc_k4z6mowmMU6Ck-0Mzu1j3w_9_0"/>
      <w:bookmarkStart w:id="197" w:name="Tc_twS0LCfvGUy34qz_SFkt3A_7_0"/>
      <w:bookmarkStart w:id="198" w:name="Tc_Ut7HY9OLD0i_Ch8pCRWJgA_6_0"/>
      <w:bookmarkStart w:id="199" w:name="Tc_3BVbpc2f1EiOefcPMfNd9A_5_11"/>
      <w:bookmarkStart w:id="200" w:name="Tc_EVX4E94FwEGWmisoTEnZHg_5_8"/>
      <w:bookmarkStart w:id="201" w:name="Tc_PzLoGC_UBkO3-xURDITFeA_5_5"/>
      <w:bookmarkStart w:id="202" w:name="Tc_wR7tlDJty0ieEXcr-Y0lNw_5_2"/>
      <w:bookmarkStart w:id="203" w:name="Tc_tHcIan8p4EqA4s9olhyqnA_5_0"/>
      <w:bookmarkStart w:id="204" w:name="Tc_87xg5EGwEEeHxcvCT54NHQ_4_0"/>
      <w:bookmarkStart w:id="205" w:name="Tc_aOk5XAbXI0GJVsPTyyldIw_3_11"/>
      <w:bookmarkStart w:id="206" w:name="Tc_TVoUrMoaeUqSd5lDou9IzQ_3_8"/>
      <w:bookmarkStart w:id="207" w:name="Tc_4Dm7YkUIz0ycj9U2rLICaw_3_5"/>
      <w:bookmarkStart w:id="208" w:name="Tc_UDA0OxVXmEKmlCaKKft20A_3_2"/>
      <w:bookmarkStart w:id="209" w:name="Tc_WQxz-Cp1JU2TjijQpY_onw_2_8"/>
      <w:bookmarkStart w:id="210" w:name="Tc_6PcNy4btEEWiqfH41_sHtQ_2_2"/>
      <w:bookmarkStart w:id="211" w:name="Tc_j887JbPfJ0-uS_JdXHavhA_1_8"/>
      <w:bookmarkStart w:id="212" w:name="Tc_QCTdzkzWQEiBjJIM4H0mrw_1_2"/>
      <w:bookmarkStart w:id="213" w:name="_63b8d26f_8f2b_4f43_940b_98fafdebaab0"/>
      <w:bookmarkStart w:id="214" w:name="_8949ea2e_8cef_4239_80b6_1367b8f7e309"/>
      <w:bookmarkStart w:id="215" w:name="Tc_4TY5ZTNqjU620B5ZWqHL8g_25_0"/>
      <w:bookmarkStart w:id="216" w:name="Tc_VQn-EoZ13UieJi-yvoCy5A_23_11"/>
      <w:bookmarkStart w:id="217" w:name="Tc_lVABblQhkE6MDSVdclggSQ_23_8"/>
      <w:bookmarkStart w:id="218" w:name="Tc_0xQZw7XWCE2VTpY8z9Vk3g_23_5"/>
      <w:bookmarkStart w:id="219" w:name="Tc_ftjTzi7fO0aIbttMFRIYlQ_23_2"/>
      <w:bookmarkStart w:id="220" w:name="Tc_9CuaxCUwGUaaTt8HbN7NxA_23_0"/>
      <w:bookmarkStart w:id="221" w:name="Tc_BqsFY_R60UuCxF9Oa94DOg_22_0"/>
      <w:bookmarkStart w:id="222" w:name="Tc_a-oqD8-LxESkcsWcfj66Hg_20_11"/>
      <w:bookmarkStart w:id="223" w:name="Tc_S3dfPfF4-0OpX6cDyWbxGA_20_8"/>
      <w:bookmarkStart w:id="224" w:name="Tc_68-SPT1irEiUClmkT0HckA_20_5"/>
      <w:bookmarkStart w:id="225" w:name="Tc_HT3rzs1ECk-h8X1OFl6zAQ_20_2"/>
      <w:bookmarkStart w:id="226" w:name="Tc_O5JZOTPDJUGyABFCmfeS7Q_20_0"/>
      <w:bookmarkStart w:id="227" w:name="Tc_nM7qEaxxYkyVirloivBfjw_19_0"/>
      <w:bookmarkStart w:id="228" w:name="Tc_3LDtoX5uTkqFkJeuwS_Cbg_18_0"/>
      <w:bookmarkStart w:id="229" w:name="Tc_7Ut-b9rtQEObTTTxjAMOYA_17_0"/>
      <w:bookmarkStart w:id="230" w:name="Tc_kXMBBza3tU6x36oj7wHnCg_16_0"/>
      <w:bookmarkStart w:id="231" w:name="Tc_sZE8Sv8lW06Qp0BFizW1Qw_14_0"/>
      <w:bookmarkStart w:id="232" w:name="Tc_-3Zt0pUHkE2PPBxP94yYQw_13_0"/>
      <w:bookmarkStart w:id="233" w:name="Tc_90RFAZQZ-0OzeKgscHSuIQ_12_0"/>
      <w:bookmarkStart w:id="234" w:name="Tc_WLQUgpZNJEqSnSU25V9RVg_11_0"/>
      <w:bookmarkStart w:id="235" w:name="Tc_31SHV8dSs0idnoYL46gwmw_10_0"/>
      <w:bookmarkStart w:id="236" w:name="Tc_k4z6mowmMU6Ck-0Mzu1j3w_9_0"/>
      <w:bookmarkStart w:id="237" w:name="Tc_twS0LCfvGUy34qz_SFkt3A_7_0"/>
      <w:bookmarkStart w:id="238" w:name="Tc_Ut7HY9OLD0i_Ch8pCRWJgA_6_0"/>
      <w:bookmarkStart w:id="239" w:name="Tc_3BVbpc2f1EiOefcPMfNd9A_5_11"/>
      <w:bookmarkStart w:id="240" w:name="Tc_EVX4E94FwEGWmisoTEnZHg_5_8"/>
      <w:bookmarkStart w:id="241" w:name="Tc_PzLoGC_UBkO3-xURDITFeA_5_5"/>
      <w:bookmarkStart w:id="242" w:name="Tc_wR7tlDJty0ieEXcr-Y0lNw_5_2"/>
      <w:bookmarkStart w:id="243" w:name="Tc_tHcIan8p4EqA4s9olhyqnA_5_0"/>
      <w:bookmarkStart w:id="244" w:name="Tc_87xg5EGwEEeHxcvCT54NHQ_4_0"/>
      <w:bookmarkStart w:id="245" w:name="Tc_aOk5XAbXI0GJVsPTyyldIw_3_11"/>
      <w:bookmarkStart w:id="246" w:name="Tc_TVoUrMoaeUqSd5lDou9IzQ_3_8"/>
      <w:bookmarkStart w:id="247" w:name="Tc_4Dm7YkUIz0ycj9U2rLICaw_3_5"/>
      <w:bookmarkStart w:id="248" w:name="Tc_UDA0OxVXmEKmlCaKKft20A_3_2"/>
      <w:bookmarkStart w:id="249" w:name="Tc_WQxz-Cp1JU2TjijQpY_onw_2_8"/>
      <w:bookmarkStart w:id="250" w:name="Tc_6PcNy4btEEWiqfH41_sHtQ_2_2"/>
      <w:bookmarkStart w:id="251" w:name="Tc_j887JbPfJ0-uS_JdXHavhA_1_8"/>
      <w:bookmarkStart w:id="252" w:name="Tc_QCTdzkzWQEiBjJIM4H0mrw_1_2"/>
      <w:bookmarkStart w:id="253" w:name="_63b8d26f_8f2b_4f43_940b_98fafdebaab0"/>
      <w:bookmarkStart w:id="254" w:name="_8949ea2e_8cef_4239_80b6_1367b8f7e309"/>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tbl>
      <w:tblPr>
        <w:tblW w:w="9973" w:type="dxa"/>
        <w:jc w:val="left"/>
        <w:tblInd w:w="0" w:type="dxa"/>
        <w:tblLayout w:type="fixed"/>
        <w:tblCellMar>
          <w:top w:w="0" w:type="dxa"/>
          <w:left w:w="0" w:type="dxa"/>
          <w:bottom w:w="0" w:type="dxa"/>
          <w:right w:w="0" w:type="dxa"/>
        </w:tblCellMar>
      </w:tblPr>
      <w:tblGrid>
        <w:gridCol w:w="5116"/>
        <w:gridCol w:w="346"/>
        <w:gridCol w:w="211"/>
        <w:gridCol w:w="571"/>
        <w:gridCol w:w="346"/>
        <w:gridCol w:w="211"/>
        <w:gridCol w:w="571"/>
        <w:gridCol w:w="346"/>
        <w:gridCol w:w="211"/>
        <w:gridCol w:w="721"/>
        <w:gridCol w:w="346"/>
        <w:gridCol w:w="211"/>
        <w:gridCol w:w="766"/>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248660" cy="175260"/>
                      <wp:effectExtent l="0" t="0" r="0" b="0"/>
                      <wp:wrapNone/>
                      <wp:docPr id="29" name="Frame29"/>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62585" cy="175260"/>
                      <wp:effectExtent l="0" t="0" r="0" b="0"/>
                      <wp:wrapNone/>
                      <wp:docPr id="32" name="Frame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62585" cy="175260"/>
                      <wp:effectExtent l="0" t="0" r="0" b="0"/>
                      <wp:wrapNone/>
                      <wp:docPr id="35" name="Frame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57835" cy="175260"/>
                      <wp:effectExtent l="0" t="0" r="0" b="0"/>
                      <wp:wrapNone/>
                      <wp:docPr id="38" name="Frame3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86410" cy="175260"/>
                      <wp:effectExtent l="0" t="0" r="0" b="0"/>
                      <wp:wrapNone/>
                      <wp:docPr id="41" name="Frame4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and other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1,166.2</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and 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1,191.8</w:t>
            </w:r>
          </w:p>
        </w:tc>
      </w:tr>
      <w:tr>
        <w:trPr/>
        <w:tc>
          <w:tcPr>
            <w:tcW w:w="51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and other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943.1</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156.3</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29.4</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and 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1,130.4</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61.4</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18.1</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43.3</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in net income of subsidiaries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Valhi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24.3</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attributable to Valhi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.03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.78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.62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.85 </w:t>
            </w:r>
          </w:p>
        </w:tc>
      </w:tr>
      <w:tr>
        <w:trPr/>
        <w:tc>
          <w:tcPr>
            <w:tcW w:w="51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28.5</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43">
                <wp:simplePos x="0" y="0"/>
                <wp:positionH relativeFrom="page">
                  <wp:posOffset>0</wp:posOffset>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120"/>
        <w:ind w:left="0" w:right="0" w:hanging="0"/>
        <w:jc w:val="center"/>
        <w:rPr>
          <w:rFonts w:ascii="Times New Roman;Times;serif" w:hAnsi="Times New Roman;Times;serif"/>
          <w:b/>
          <w:sz w:val="20"/>
        </w:rPr>
      </w:pPr>
      <w:bookmarkStart w:id="255" w:name="_9eb493e1_aaf8_4efb_8f05_ddb7d0762ffa"/>
      <w:bookmarkEnd w:id="255"/>
      <w:r>
        <w:rPr>
          <w:rFonts w:ascii="Times New Roman;Times;serif" w:hAnsi="Times New Roman;Times;serif"/>
          <w:b/>
          <w:sz w:val="20"/>
        </w:rPr>
        <w:t>VALHI, INC. AND SUBSIDIARIES</w:t>
      </w:r>
    </w:p>
    <w:p>
      <w:pPr>
        <w:pStyle w:val="TextBody"/>
        <w:bidi w:val="0"/>
        <w:spacing w:before="0" w:after="120"/>
        <w:ind w:left="0" w:right="0" w:hanging="0"/>
        <w:jc w:val="center"/>
        <w:rPr>
          <w:rFonts w:ascii="Times New Roman;Times;serif" w:hAnsi="Times New Roman;Times;serif"/>
          <w:b/>
          <w:sz w:val="20"/>
        </w:rPr>
      </w:pPr>
      <w:bookmarkStart w:id="256" w:name="CONDENSEDCONSOLIDATEDSTATEMENTSOFCOMPREH"/>
      <w:bookmarkEnd w:id="256"/>
      <w:r>
        <w:rPr>
          <w:rFonts w:ascii="Times New Roman;Times;serif" w:hAnsi="Times New Roman;Times;serif"/>
          <w:b/>
          <w:sz w:val="20"/>
        </w:rPr>
        <w:t>CONDENSED 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Normal"/>
        <w:bidi w:val="0"/>
        <w:spacing w:before="0" w:after="0"/>
        <w:jc w:val="left"/>
        <w:rPr>
          <w:sz w:val="4"/>
          <w:szCs w:val="4"/>
        </w:rPr>
      </w:pPr>
      <w:r>
        <w:rPr>
          <w:sz w:val="4"/>
          <w:szCs w:val="4"/>
        </w:rPr>
      </w:r>
      <w:bookmarkStart w:id="257" w:name="Tc_8oeuqZrk80ucMPT2KBKYDw_12_11"/>
      <w:bookmarkStart w:id="258" w:name="Tc_qdfagA1-FkKn_m2xYsohAQ_12_8"/>
      <w:bookmarkStart w:id="259" w:name="Tc_Q1Hxb25wOkyzdjHPePkbsw_12_5"/>
      <w:bookmarkStart w:id="260" w:name="Tc_4SriTNyTJk24dczJdXeT9g_12_2"/>
      <w:bookmarkStart w:id="261" w:name="Tc_p9dyz2WgaE2FtX8ueMYeRQ_12_0"/>
      <w:bookmarkStart w:id="262" w:name="Tc_by3vjQ-U0UiJ_Xj2TRbsRQ_11_0"/>
      <w:bookmarkStart w:id="263" w:name="Tc_qtNTzMlfdU-tssISpwqpFQ_10_0"/>
      <w:bookmarkStart w:id="264" w:name="Tc_0E9kru5XCk2pUeYWIQOGRA_9_0"/>
      <w:bookmarkStart w:id="265" w:name="Tc_X_euLhZn-E6K3PlIfLk_9w_8_12"/>
      <w:bookmarkStart w:id="266" w:name="Tc_j50ByrlPakq3Lb5U-uzLRw_8_6"/>
      <w:bookmarkStart w:id="267" w:name="Tc_W4DGkCNEn0OxWUvKBnFSuw_8_3"/>
      <w:bookmarkStart w:id="268" w:name="Tc_X_pWfyHvFkKbbcNivTAM0Q_8_0"/>
      <w:bookmarkStart w:id="269" w:name="Tc_WYexPDA5BEuKyc5heXqhZw_7_0"/>
      <w:bookmarkStart w:id="270" w:name="Tc_AO7U0qLzs0qxGJZjl7doQQ_6_0"/>
      <w:bookmarkStart w:id="271" w:name="Tc_tULnhccpZEqpgFH1wcKOfg_5_0"/>
      <w:bookmarkStart w:id="272" w:name="Tc_LoH8ct0E3UiJfv_C-8vo3w_4_11"/>
      <w:bookmarkStart w:id="273" w:name="Tc_NYY7R8BQ_kikNXsca_puWw_4_8"/>
      <w:bookmarkStart w:id="274" w:name="Tc_riNUFFNnXEuLHk_1siRdRg_4_5"/>
      <w:bookmarkStart w:id="275" w:name="Tc_eLYqkgxeP0eu1o1Od-yoQQ_4_2"/>
      <w:bookmarkStart w:id="276" w:name="Tc_UrEFt0ilSUCTH181Gymqgw_4_0"/>
      <w:bookmarkStart w:id="277" w:name="Tc_uBCZAr8zw02_I0JaMfmnkg_3_11"/>
      <w:bookmarkStart w:id="278" w:name="Tc_rUQEUu-bXkS1DXRSq-nVRg_3_8"/>
      <w:bookmarkStart w:id="279" w:name="Tc_UVRHY49tv02vwTcDidCY1Q_3_5"/>
      <w:bookmarkStart w:id="280" w:name="Tc_K-J_C6kl80KPFaccUkg6bg_3_2"/>
      <w:bookmarkStart w:id="281" w:name="Tc_CKVnKkXBwECgwcIbGrR16A_2_8"/>
      <w:bookmarkStart w:id="282" w:name="Tc_MTZCrrQRwEqc06hjBKdDcQ_2_2"/>
      <w:bookmarkStart w:id="283" w:name="Tc_dEopNbM6M0yQd4hPnlnaTA_1_8"/>
      <w:bookmarkStart w:id="284" w:name="Tc_9vwTcRDZfE66RZHWz3Rb7Q_1_2"/>
      <w:bookmarkStart w:id="285" w:name="_19442f2d_a851_4a05_9152_e6b0b32eeee5"/>
      <w:bookmarkStart w:id="286" w:name="Tc_8oeuqZrk80ucMPT2KBKYDw_12_11"/>
      <w:bookmarkStart w:id="287" w:name="Tc_qdfagA1-FkKn_m2xYsohAQ_12_8"/>
      <w:bookmarkStart w:id="288" w:name="Tc_Q1Hxb25wOkyzdjHPePkbsw_12_5"/>
      <w:bookmarkStart w:id="289" w:name="Tc_4SriTNyTJk24dczJdXeT9g_12_2"/>
      <w:bookmarkStart w:id="290" w:name="Tc_p9dyz2WgaE2FtX8ueMYeRQ_12_0"/>
      <w:bookmarkStart w:id="291" w:name="Tc_by3vjQ-U0UiJ_Xj2TRbsRQ_11_0"/>
      <w:bookmarkStart w:id="292" w:name="Tc_qtNTzMlfdU-tssISpwqpFQ_10_0"/>
      <w:bookmarkStart w:id="293" w:name="Tc_0E9kru5XCk2pUeYWIQOGRA_9_0"/>
      <w:bookmarkStart w:id="294" w:name="Tc_X_euLhZn-E6K3PlIfLk_9w_8_12"/>
      <w:bookmarkStart w:id="295" w:name="Tc_j50ByrlPakq3Lb5U-uzLRw_8_6"/>
      <w:bookmarkStart w:id="296" w:name="Tc_W4DGkCNEn0OxWUvKBnFSuw_8_3"/>
      <w:bookmarkStart w:id="297" w:name="Tc_X_pWfyHvFkKbbcNivTAM0Q_8_0"/>
      <w:bookmarkStart w:id="298" w:name="Tc_WYexPDA5BEuKyc5heXqhZw_7_0"/>
      <w:bookmarkStart w:id="299" w:name="Tc_AO7U0qLzs0qxGJZjl7doQQ_6_0"/>
      <w:bookmarkStart w:id="300" w:name="Tc_tULnhccpZEqpgFH1wcKOfg_5_0"/>
      <w:bookmarkStart w:id="301" w:name="Tc_LoH8ct0E3UiJfv_C-8vo3w_4_11"/>
      <w:bookmarkStart w:id="302" w:name="Tc_NYY7R8BQ_kikNXsca_puWw_4_8"/>
      <w:bookmarkStart w:id="303" w:name="Tc_riNUFFNnXEuLHk_1siRdRg_4_5"/>
      <w:bookmarkStart w:id="304" w:name="Tc_eLYqkgxeP0eu1o1Od-yoQQ_4_2"/>
      <w:bookmarkStart w:id="305" w:name="Tc_UrEFt0ilSUCTH181Gymqgw_4_0"/>
      <w:bookmarkStart w:id="306" w:name="Tc_uBCZAr8zw02_I0JaMfmnkg_3_11"/>
      <w:bookmarkStart w:id="307" w:name="Tc_rUQEUu-bXkS1DXRSq-nVRg_3_8"/>
      <w:bookmarkStart w:id="308" w:name="Tc_UVRHY49tv02vwTcDidCY1Q_3_5"/>
      <w:bookmarkStart w:id="309" w:name="Tc_K-J_C6kl80KPFaccUkg6bg_3_2"/>
      <w:bookmarkStart w:id="310" w:name="Tc_CKVnKkXBwECgwcIbGrR16A_2_8"/>
      <w:bookmarkStart w:id="311" w:name="Tc_MTZCrrQRwEqc06hjBKdDcQ_2_2"/>
      <w:bookmarkStart w:id="312" w:name="Tc_dEopNbM6M0yQd4hPnlnaTA_1_8"/>
      <w:bookmarkStart w:id="313" w:name="Tc_9vwTcRDZfE66RZHWz3Rb7Q_1_2"/>
      <w:bookmarkStart w:id="314" w:name="_19442f2d_a851_4a05_9152_e6b0b32eeee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tbl>
      <w:tblPr>
        <w:tblW w:w="9515" w:type="dxa"/>
        <w:jc w:val="left"/>
        <w:tblInd w:w="0" w:type="dxa"/>
        <w:tblLayout w:type="fixed"/>
        <w:tblCellMar>
          <w:top w:w="0" w:type="dxa"/>
          <w:left w:w="0" w:type="dxa"/>
          <w:bottom w:w="0" w:type="dxa"/>
          <w:right w:w="0" w:type="dxa"/>
        </w:tblCellMar>
      </w:tblPr>
      <w:tblGrid>
        <w:gridCol w:w="5161"/>
        <w:gridCol w:w="346"/>
        <w:gridCol w:w="228"/>
        <w:gridCol w:w="505"/>
        <w:gridCol w:w="375"/>
        <w:gridCol w:w="228"/>
        <w:gridCol w:w="521"/>
        <w:gridCol w:w="346"/>
        <w:gridCol w:w="211"/>
        <w:gridCol w:w="466"/>
        <w:gridCol w:w="346"/>
        <w:gridCol w:w="211"/>
        <w:gridCol w:w="571"/>
      </w:tblGrid>
      <w:tr>
        <w:trPr/>
        <w:tc>
          <w:tcPr>
            <w:tcW w:w="5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277235" cy="175260"/>
                      <wp:effectExtent l="0" t="0" r="0" b="0"/>
                      <wp:wrapNone/>
                      <wp:docPr id="43" name="Frame43"/>
                      <a:graphic xmlns:a="http://schemas.openxmlformats.org/drawingml/2006/main">
                        <a:graphicData uri="http://schemas.microsoft.com/office/word/2010/wordprocessingShape">
                          <wps:wsp>
                            <wps:cNvSpPr txBox="1"/>
                            <wps:spPr>
                              <a:xfrm>
                                <a:off x="0" y="0"/>
                                <a:ext cx="3277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4780" cy="175260"/>
                      <wp:effectExtent l="0" t="0" r="0" b="0"/>
                      <wp:wrapNone/>
                      <wp:docPr id="45" name="Frame4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20675" cy="175260"/>
                      <wp:effectExtent l="0" t="0" r="0" b="0"/>
                      <wp:wrapNone/>
                      <wp:docPr id="46" name="Frame46"/>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38125" cy="175260"/>
                      <wp:effectExtent l="0" t="0" r="0" b="0"/>
                      <wp:wrapNone/>
                      <wp:docPr id="47" name="Frame47"/>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44780" cy="175260"/>
                      <wp:effectExtent l="0" t="0" r="0" b="0"/>
                      <wp:wrapNone/>
                      <wp:docPr id="48" name="Frame4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30835" cy="175260"/>
                      <wp:effectExtent l="0" t="0" r="0" b="0"/>
                      <wp:wrapNone/>
                      <wp:docPr id="49" name="Frame49"/>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95910" cy="175260"/>
                      <wp:effectExtent l="0" t="0" r="0" b="0"/>
                      <wp:wrapNone/>
                      <wp:docPr id="52" name="Frame5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62585" cy="175260"/>
                      <wp:effectExtent l="0" t="0" r="0" b="0"/>
                      <wp:wrapNone/>
                      <wp:docPr id="55" name="Frame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57"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80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5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18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5" w:type="dxa"/>
            <w:tcBorders/>
            <w:vAlign w:val="center"/>
          </w:tcPr>
          <w:p>
            <w:pPr>
              <w:pStyle w:val="TableContents"/>
              <w:bidi w:val="0"/>
              <w:spacing w:before="0" w:after="0"/>
              <w:ind w:left="0" w:right="0" w:hanging="0"/>
              <w:jc w:val="left"/>
              <w:rPr/>
            </w:pPr>
            <w:r>
              <w:rPr/>
              <w:t>  ​ ​ ​</w:t>
            </w:r>
          </w:p>
        </w:tc>
        <w:tc>
          <w:tcPr>
            <w:tcW w:w="7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43.3</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  ​</w:t>
            </w:r>
          </w:p>
        </w:tc>
        <w:tc>
          <w:tcPr>
            <w:tcW w:w="375"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5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75"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75"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5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43.8</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noncontrolling interest</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5"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Valhi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24.6</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57">
                <wp:simplePos x="0" y="0"/>
                <wp:positionH relativeFrom="page">
                  <wp:posOffset>0</wp:posOffset>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60"/>
        <w:ind w:left="0" w:right="0" w:hanging="0"/>
        <w:jc w:val="center"/>
        <w:rPr>
          <w:rFonts w:ascii="Times New Roman;Times;serif" w:hAnsi="Times New Roman;Times;serif"/>
          <w:b/>
          <w:sz w:val="20"/>
        </w:rPr>
      </w:pPr>
      <w:bookmarkStart w:id="315" w:name="_4529e008_9611_44af_9c5e_4b16da68b382"/>
      <w:bookmarkEnd w:id="315"/>
      <w:r>
        <w:rPr>
          <w:rFonts w:ascii="Times New Roman;Times;serif" w:hAnsi="Times New Roman;Times;serif"/>
          <w:b/>
          <w:sz w:val="20"/>
        </w:rPr>
        <w:t>VALHI, INC. AND SUBSIDIARIES</w:t>
      </w:r>
    </w:p>
    <w:p>
      <w:pPr>
        <w:pStyle w:val="TextBody"/>
        <w:bidi w:val="0"/>
        <w:spacing w:before="0" w:after="60"/>
        <w:ind w:left="0" w:right="0" w:hanging="0"/>
        <w:jc w:val="center"/>
        <w:rPr>
          <w:rFonts w:ascii="Times New Roman;Times;serif" w:hAnsi="Times New Roman;Times;serif"/>
          <w:b/>
          <w:sz w:val="20"/>
        </w:rPr>
      </w:pPr>
      <w:bookmarkStart w:id="316" w:name="CONDENSEDCONSOLIDATEDSTATEMENTOFEQUITY"/>
      <w:bookmarkEnd w:id="316"/>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Normal"/>
        <w:bidi w:val="0"/>
        <w:spacing w:before="0" w:after="0"/>
        <w:jc w:val="left"/>
        <w:rPr>
          <w:sz w:val="4"/>
          <w:szCs w:val="4"/>
        </w:rPr>
      </w:pPr>
      <w:r>
        <w:rPr>
          <w:sz w:val="4"/>
          <w:szCs w:val="4"/>
        </w:rPr>
      </w:r>
      <w:bookmarkStart w:id="317" w:name="Tc_j1yLkEPkjEatHpkDo7vI1A_22_20"/>
      <w:bookmarkStart w:id="318" w:name="Tc_hGHEIrMyA0qaC408U_lP9w_22_17"/>
      <w:bookmarkStart w:id="319" w:name="Tc_eMZ1DJIjC0WKY_q92Qfgbg_22_14"/>
      <w:bookmarkStart w:id="320" w:name="Tc_wXqvLYYuZ06W8bqD18etBw_22_11"/>
      <w:bookmarkStart w:id="321" w:name="Tc_fNnwvo44fUWln_Z6x7VrWA_22_8"/>
      <w:bookmarkStart w:id="322" w:name="Tc_nYjz95_cBUKgnifTRIRUJA_22_5"/>
      <w:bookmarkStart w:id="323" w:name="Tc_ZIX4G5FiL0Oc0P4fhVRZig_22_2"/>
      <w:bookmarkStart w:id="324" w:name="Tc_rEnC1n0nqUyvCFzBsyRKbQ_22_0"/>
      <w:bookmarkStart w:id="325" w:name="Tc_8_rk8tmbnkiewlqSs6fCRQ_20_15"/>
      <w:bookmarkStart w:id="326" w:name="Tc_kZQAj6Dppkyt4EUQ4Cer6Q_20_12"/>
      <w:bookmarkStart w:id="327" w:name="Tc_mGW14ObyDUqkGMxyw6e7ZA_20_9"/>
      <w:bookmarkStart w:id="328" w:name="Tc_fMBUhZCE_0i14naWNOwbPg_20_3"/>
      <w:bookmarkStart w:id="329" w:name="Tc_219e14FLd0CH10viLh5QmA_20_0"/>
      <w:bookmarkStart w:id="330" w:name="Tc_NFr0W_VfD0ul1OG0nxVE3A_19_18"/>
      <w:bookmarkStart w:id="331" w:name="Tc_ZlNozMQgeUqvKD86VmlDDw_19_15"/>
      <w:bookmarkStart w:id="332" w:name="Tc_sdiRUOST3kakPVwJzjshYw_19_12"/>
      <w:bookmarkStart w:id="333" w:name="Tc_5e7-svj8LU2v14wNl_EBZA_19_6"/>
      <w:bookmarkStart w:id="334" w:name="Tc_P23CZnfcU0GPMpP-ab_UJQ_19_3"/>
      <w:bookmarkStart w:id="335" w:name="Tc_rpWydDZo5Ui7izNZj-dSQQ_19_0"/>
      <w:bookmarkStart w:id="336" w:name="Tc_TE9bE-mAdkeoFnEmVWpVRA_18_15"/>
      <w:bookmarkStart w:id="337" w:name="Tc_gy2jdETho0COa9OlC3BxfA_18_12"/>
      <w:bookmarkStart w:id="338" w:name="Tc_kShgPv4GzUeEqvvXFZ7_hA_18_9"/>
      <w:bookmarkStart w:id="339" w:name="Tc_SHGnuFos5Ey_GDyAGzseQw_18_6"/>
      <w:bookmarkStart w:id="340" w:name="Tc_JiEHDv3e6k-P5VIEoiFsHA_18_3"/>
      <w:bookmarkStart w:id="341" w:name="Tc_EvnMfBNfXU2xcy65GsA5oQ_18_0"/>
      <w:bookmarkStart w:id="342" w:name="Tc_jeeObhonjkiee77HD2Zh7g_17_15"/>
      <w:bookmarkStart w:id="343" w:name="Tc_Bx3h2VVvbUq2LDMyQ2NaXA_17_9"/>
      <w:bookmarkStart w:id="344" w:name="Tc__7_7VND1zEylqCfps-l8SA_17_6"/>
      <w:bookmarkStart w:id="345" w:name="Tc_NgAijcexN0Oxn9xBIRRWEA_17_3"/>
      <w:bookmarkStart w:id="346" w:name="Tc_Lbjoe72tMUm8Y9N_Jqqnyg_17_0"/>
      <w:bookmarkStart w:id="347" w:name="Tc_Of5N1d9ixEGKoSr3fPiH7w_16_15"/>
      <w:bookmarkStart w:id="348" w:name="Tc_soTGlwApUEqjuZNUZZAbAA_16_12"/>
      <w:bookmarkStart w:id="349" w:name="Tc_Yqpj9rOKgEyU_ns4JHTCcQ_16_6"/>
      <w:bookmarkStart w:id="350" w:name="Tc_SjVsZtRGU06kyj5EbOtEpA_16_3"/>
      <w:bookmarkStart w:id="351" w:name="Tc_oW9jO54b7EyS_Gd3kBMxOw_16_0"/>
      <w:bookmarkStart w:id="352" w:name="Tc_30vwIJ1Xb0mtjVOirhSNbQ_15_20"/>
      <w:bookmarkStart w:id="353" w:name="Tc_8Ihz5rVDuUCjb_M8IfKU6A_15_17"/>
      <w:bookmarkStart w:id="354" w:name="Tc_npNOhSkNBk-1cr393ZL0Yw_15_14"/>
      <w:bookmarkStart w:id="355" w:name="Tc_-8skt8JjikmoBBScy3LXRA_15_11"/>
      <w:bookmarkStart w:id="356" w:name="Tc_lNfAdpRA4E68Qkj5z5bkXg_15_8"/>
      <w:bookmarkStart w:id="357" w:name="Tc_6pOEY195mUyEzP-Fg_B5MA_15_5"/>
      <w:bookmarkStart w:id="358" w:name="Tc_q8X41MNf9kO4X9b-nF1euA_15_2"/>
      <w:bookmarkStart w:id="359" w:name="Tc_VOOZGzbHuU69e_tG5ahcVQ_15_0"/>
      <w:bookmarkStart w:id="360" w:name="Tc_crVrWYF-ZUSLrNiVaQMmcQ_13_20"/>
      <w:bookmarkStart w:id="361" w:name="Tc_sFubvu82T0-5v5ZZKFy-4A_13_17"/>
      <w:bookmarkStart w:id="362" w:name="Tc_GioOaWJ55UiGh6EJYxtk0Q_13_14"/>
      <w:bookmarkStart w:id="363" w:name="Tc_P4S7jqlyq0iUAYM55M0IgA_13_11"/>
      <w:bookmarkStart w:id="364" w:name="Tc_jDDulKPeuk6upfKPjKnYZA_13_8"/>
      <w:bookmarkStart w:id="365" w:name="Tc_8VJDqRp24kC3SKbRcl6Jfg_13_5"/>
      <w:bookmarkStart w:id="366" w:name="Tc_wTqy-X61YUe6tTz9wKClFg_13_2"/>
      <w:bookmarkStart w:id="367" w:name="Tc_jeXsdbT4Z0OV-8DHEu0vFw_13_0"/>
      <w:bookmarkStart w:id="368" w:name="Tc_AiZZ7oAyJ0Cy8EylkpnMCw_11_18"/>
      <w:bookmarkStart w:id="369" w:name="Tc_xUMcizuT30qRrDLXHUVStA_11_15"/>
      <w:bookmarkStart w:id="370" w:name="Tc_9hukkumx306hIxeOLc-Ogg_11_12"/>
      <w:bookmarkStart w:id="371" w:name="Tc_BnOQ09Vhn0CNIbl-BvZvNw_11_9"/>
      <w:bookmarkStart w:id="372" w:name="Tc_w1KfcG6Wkki3-vj6RfDUcg_11_3"/>
      <w:bookmarkStart w:id="373" w:name="Tc_wbZVJYfn_UuK18m0jhCCyQ_11_0"/>
      <w:bookmarkStart w:id="374" w:name="Tc_p2BXJwcX5UGg5wXXKkI4ug_10_18"/>
      <w:bookmarkStart w:id="375" w:name="Tc_LpoO-TI6rUKybhS4wyHrFA_10_15"/>
      <w:bookmarkStart w:id="376" w:name="Tc_v_QTbrWuw0KvJIKZ4HInCA_10_12"/>
      <w:bookmarkStart w:id="377" w:name="Tc_weHm3obCBEGy3PszftEpCQ_10_6"/>
      <w:bookmarkStart w:id="378" w:name="Tc_osO0gEaqb0mHqn75ogivMA_10_3"/>
      <w:bookmarkStart w:id="379" w:name="Tc_Y_FEZlStpUiJqkQg3PKJfQ_10_0"/>
      <w:bookmarkStart w:id="380" w:name="Tc_m4XDFtV3ckG-4m4r0X8pnQ_9_15"/>
      <w:bookmarkStart w:id="381" w:name="Tc_3CpuCrig3EOkCP4J-6dIKA_9_12"/>
      <w:bookmarkStart w:id="382" w:name="Tc_dBqfy3qpPU2qsI2zudVgFg_9_9"/>
      <w:bookmarkStart w:id="383" w:name="Tc_yetwFTRFTEi4Tu7W7dN54A_9_6"/>
      <w:bookmarkStart w:id="384" w:name="Tc_0E6Uuy3I80W4vjNbWUXzGQ_9_3"/>
      <w:bookmarkStart w:id="385" w:name="Tc_hUU0lUNWdUqWDuDWmmInBg_9_0"/>
      <w:bookmarkStart w:id="386" w:name="Tc_6t8TacvUdk6fb1LUWtbF0Q_8_15"/>
      <w:bookmarkStart w:id="387" w:name="Tc_v43SJTqnS0Kh-Pv8RKkqSw_8_9"/>
      <w:bookmarkStart w:id="388" w:name="Tc_DEeuJ6GTik2HLmnMYhd6kA_8_6"/>
      <w:bookmarkStart w:id="389" w:name="Tc__zj3oo5TukaMj8aQ9oihew_8_3"/>
      <w:bookmarkStart w:id="390" w:name="Tc_u6XkJAZwjk6O6D6SqcfRXQ_8_0"/>
      <w:bookmarkStart w:id="391" w:name="Tc_MIosIwD0cUmLVmHuv1g6ow_7_15"/>
      <w:bookmarkStart w:id="392" w:name="Tc_ZLnoiFEgLk6tDi_rgg936g_7_12"/>
      <w:bookmarkStart w:id="393" w:name="Tc_tJn5hiS-KkKnHLnIIIophg_7_6"/>
      <w:bookmarkStart w:id="394" w:name="Tc_0oCqrj7MyUu3AFJLIX8oaA_7_3"/>
      <w:bookmarkStart w:id="395" w:name="Tc_QaAxSGbt2E-jMXhTgiCn3Q_7_0"/>
      <w:bookmarkStart w:id="396" w:name="Tc_TWcilI811U2MTDxx99UKXA_6_20"/>
      <w:bookmarkStart w:id="397" w:name="Tc_0pXAq_QgAU29DQveUwkt4g_6_17"/>
      <w:bookmarkStart w:id="398" w:name="Tc_n93IbkfkO0C9WUsqRKrt2w_6_14"/>
      <w:bookmarkStart w:id="399" w:name="Tc_8pEuphwhFkyQtkysDT8vxQ_6_11"/>
      <w:bookmarkStart w:id="400" w:name="Tc_tktQUrpACUyF22Q-SMkHaQ_6_8"/>
      <w:bookmarkStart w:id="401" w:name="Tc__OrLTMw8O0qmD7bKYfB9UA_6_5"/>
      <w:bookmarkStart w:id="402" w:name="Tc_fZgIon49oUSDilx7CwvV5Q_6_2"/>
      <w:bookmarkStart w:id="403" w:name="Tc_RRBo5HDZdU2JzblQIxRy2Q_6_0"/>
      <w:bookmarkStart w:id="404" w:name="Tc_pbxlr_4Q7k20wEqv4_AUug_5_20"/>
      <w:bookmarkStart w:id="405" w:name="Tc_NQxkJ4lPn0Sq1OCgyHwtKw_5_17"/>
      <w:bookmarkStart w:id="406" w:name="Tc_8OliVUtb70C7Dko4yeeHHw_5_14"/>
      <w:bookmarkStart w:id="407" w:name="Tc_bVVhOvjxHUC3jKY4JyUZRA_5_11"/>
      <w:bookmarkStart w:id="408" w:name="Tc_YoTXLlE2mk68V9lxEN-zkQ_5_8"/>
      <w:bookmarkStart w:id="409" w:name="Tc_evsZgsHkJ0OvHm0omAhZAg_5_5"/>
      <w:bookmarkStart w:id="410" w:name="Tc_nRpfuzJS00C53XOLsulpfQ_5_2"/>
      <w:bookmarkStart w:id="411" w:name="Tc_ZRrW9jS-M0CCp297yr6ftQ_4_17"/>
      <w:bookmarkStart w:id="412" w:name="Tc_EzGRHJtnLkWY83swhrQ1Yg_4_14"/>
      <w:bookmarkStart w:id="413" w:name="Tc_8SWn1N00mU6njjlpElG8Yg_4_11"/>
      <w:bookmarkStart w:id="414" w:name="Tc_a4QjI0RMX06ILSzvE3a2Vw_4_8"/>
      <w:bookmarkStart w:id="415" w:name="Tc_PLbP1rQEm0qBtVFG-N1DQg_4_5"/>
      <w:bookmarkStart w:id="416" w:name="Tc_1ZqFyWuO6kWMiarWo7TPXw_4_2"/>
      <w:bookmarkStart w:id="417" w:name="Tc_Wr1sJZv0lE6gG0g9ytMvmA_3_17"/>
      <w:bookmarkStart w:id="418" w:name="Tc_rq9cWRvb8Ue8zD3_oc_XSw_3_11"/>
      <w:bookmarkStart w:id="419" w:name="Tc_qMM8jMuwkEKGOvlJEViIcQ_3_5"/>
      <w:bookmarkStart w:id="420" w:name="Tc_VbHBbm04EEGwoMSPqDBGkA_2_11"/>
      <w:bookmarkStart w:id="421" w:name="Tc_0joHwA27dU2dW5k9yYGFtw_1_2"/>
      <w:bookmarkStart w:id="422" w:name="_bc3165fc_fb50_45f9_a3b3_1d98391c5157"/>
      <w:bookmarkStart w:id="423" w:name="Tc_j1yLkEPkjEatHpkDo7vI1A_22_20"/>
      <w:bookmarkStart w:id="424" w:name="Tc_hGHEIrMyA0qaC408U_lP9w_22_17"/>
      <w:bookmarkStart w:id="425" w:name="Tc_eMZ1DJIjC0WKY_q92Qfgbg_22_14"/>
      <w:bookmarkStart w:id="426" w:name="Tc_wXqvLYYuZ06W8bqD18etBw_22_11"/>
      <w:bookmarkStart w:id="427" w:name="Tc_fNnwvo44fUWln_Z6x7VrWA_22_8"/>
      <w:bookmarkStart w:id="428" w:name="Tc_nYjz95_cBUKgnifTRIRUJA_22_5"/>
      <w:bookmarkStart w:id="429" w:name="Tc_ZIX4G5FiL0Oc0P4fhVRZig_22_2"/>
      <w:bookmarkStart w:id="430" w:name="Tc_rEnC1n0nqUyvCFzBsyRKbQ_22_0"/>
      <w:bookmarkStart w:id="431" w:name="Tc_8_rk8tmbnkiewlqSs6fCRQ_20_15"/>
      <w:bookmarkStart w:id="432" w:name="Tc_kZQAj6Dppkyt4EUQ4Cer6Q_20_12"/>
      <w:bookmarkStart w:id="433" w:name="Tc_mGW14ObyDUqkGMxyw6e7ZA_20_9"/>
      <w:bookmarkStart w:id="434" w:name="Tc_fMBUhZCE_0i14naWNOwbPg_20_3"/>
      <w:bookmarkStart w:id="435" w:name="Tc_219e14FLd0CH10viLh5QmA_20_0"/>
      <w:bookmarkStart w:id="436" w:name="Tc_NFr0W_VfD0ul1OG0nxVE3A_19_18"/>
      <w:bookmarkStart w:id="437" w:name="Tc_ZlNozMQgeUqvKD86VmlDDw_19_15"/>
      <w:bookmarkStart w:id="438" w:name="Tc_sdiRUOST3kakPVwJzjshYw_19_12"/>
      <w:bookmarkStart w:id="439" w:name="Tc_5e7-svj8LU2v14wNl_EBZA_19_6"/>
      <w:bookmarkStart w:id="440" w:name="Tc_P23CZnfcU0GPMpP-ab_UJQ_19_3"/>
      <w:bookmarkStart w:id="441" w:name="Tc_rpWydDZo5Ui7izNZj-dSQQ_19_0"/>
      <w:bookmarkStart w:id="442" w:name="Tc_TE9bE-mAdkeoFnEmVWpVRA_18_15"/>
      <w:bookmarkStart w:id="443" w:name="Tc_gy2jdETho0COa9OlC3BxfA_18_12"/>
      <w:bookmarkStart w:id="444" w:name="Tc_kShgPv4GzUeEqvvXFZ7_hA_18_9"/>
      <w:bookmarkStart w:id="445" w:name="Tc_SHGnuFos5Ey_GDyAGzseQw_18_6"/>
      <w:bookmarkStart w:id="446" w:name="Tc_JiEHDv3e6k-P5VIEoiFsHA_18_3"/>
      <w:bookmarkStart w:id="447" w:name="Tc_EvnMfBNfXU2xcy65GsA5oQ_18_0"/>
      <w:bookmarkStart w:id="448" w:name="Tc_jeeObhonjkiee77HD2Zh7g_17_15"/>
      <w:bookmarkStart w:id="449" w:name="Tc_Bx3h2VVvbUq2LDMyQ2NaXA_17_9"/>
      <w:bookmarkStart w:id="450" w:name="Tc__7_7VND1zEylqCfps-l8SA_17_6"/>
      <w:bookmarkStart w:id="451" w:name="Tc_NgAijcexN0Oxn9xBIRRWEA_17_3"/>
      <w:bookmarkStart w:id="452" w:name="Tc_Lbjoe72tMUm8Y9N_Jqqnyg_17_0"/>
      <w:bookmarkStart w:id="453" w:name="Tc_Of5N1d9ixEGKoSr3fPiH7w_16_15"/>
      <w:bookmarkStart w:id="454" w:name="Tc_soTGlwApUEqjuZNUZZAbAA_16_12"/>
      <w:bookmarkStart w:id="455" w:name="Tc_Yqpj9rOKgEyU_ns4JHTCcQ_16_6"/>
      <w:bookmarkStart w:id="456" w:name="Tc_SjVsZtRGU06kyj5EbOtEpA_16_3"/>
      <w:bookmarkStart w:id="457" w:name="Tc_oW9jO54b7EyS_Gd3kBMxOw_16_0"/>
      <w:bookmarkStart w:id="458" w:name="Tc_30vwIJ1Xb0mtjVOirhSNbQ_15_20"/>
      <w:bookmarkStart w:id="459" w:name="Tc_8Ihz5rVDuUCjb_M8IfKU6A_15_17"/>
      <w:bookmarkStart w:id="460" w:name="Tc_npNOhSkNBk-1cr393ZL0Yw_15_14"/>
      <w:bookmarkStart w:id="461" w:name="Tc_-8skt8JjikmoBBScy3LXRA_15_11"/>
      <w:bookmarkStart w:id="462" w:name="Tc_lNfAdpRA4E68Qkj5z5bkXg_15_8"/>
      <w:bookmarkStart w:id="463" w:name="Tc_6pOEY195mUyEzP-Fg_B5MA_15_5"/>
      <w:bookmarkStart w:id="464" w:name="Tc_q8X41MNf9kO4X9b-nF1euA_15_2"/>
      <w:bookmarkStart w:id="465" w:name="Tc_VOOZGzbHuU69e_tG5ahcVQ_15_0"/>
      <w:bookmarkStart w:id="466" w:name="Tc_crVrWYF-ZUSLrNiVaQMmcQ_13_20"/>
      <w:bookmarkStart w:id="467" w:name="Tc_sFubvu82T0-5v5ZZKFy-4A_13_17"/>
      <w:bookmarkStart w:id="468" w:name="Tc_GioOaWJ55UiGh6EJYxtk0Q_13_14"/>
      <w:bookmarkStart w:id="469" w:name="Tc_P4S7jqlyq0iUAYM55M0IgA_13_11"/>
      <w:bookmarkStart w:id="470" w:name="Tc_jDDulKPeuk6upfKPjKnYZA_13_8"/>
      <w:bookmarkStart w:id="471" w:name="Tc_8VJDqRp24kC3SKbRcl6Jfg_13_5"/>
      <w:bookmarkStart w:id="472" w:name="Tc_wTqy-X61YUe6tTz9wKClFg_13_2"/>
      <w:bookmarkStart w:id="473" w:name="Tc_jeXsdbT4Z0OV-8DHEu0vFw_13_0"/>
      <w:bookmarkStart w:id="474" w:name="Tc_AiZZ7oAyJ0Cy8EylkpnMCw_11_18"/>
      <w:bookmarkStart w:id="475" w:name="Tc_xUMcizuT30qRrDLXHUVStA_11_15"/>
      <w:bookmarkStart w:id="476" w:name="Tc_9hukkumx306hIxeOLc-Ogg_11_12"/>
      <w:bookmarkStart w:id="477" w:name="Tc_BnOQ09Vhn0CNIbl-BvZvNw_11_9"/>
      <w:bookmarkStart w:id="478" w:name="Tc_w1KfcG6Wkki3-vj6RfDUcg_11_3"/>
      <w:bookmarkStart w:id="479" w:name="Tc_wbZVJYfn_UuK18m0jhCCyQ_11_0"/>
      <w:bookmarkStart w:id="480" w:name="Tc_p2BXJwcX5UGg5wXXKkI4ug_10_18"/>
      <w:bookmarkStart w:id="481" w:name="Tc_LpoO-TI6rUKybhS4wyHrFA_10_15"/>
      <w:bookmarkStart w:id="482" w:name="Tc_v_QTbrWuw0KvJIKZ4HInCA_10_12"/>
      <w:bookmarkStart w:id="483" w:name="Tc_weHm3obCBEGy3PszftEpCQ_10_6"/>
      <w:bookmarkStart w:id="484" w:name="Tc_osO0gEaqb0mHqn75ogivMA_10_3"/>
      <w:bookmarkStart w:id="485" w:name="Tc_Y_FEZlStpUiJqkQg3PKJfQ_10_0"/>
      <w:bookmarkStart w:id="486" w:name="Tc_m4XDFtV3ckG-4m4r0X8pnQ_9_15"/>
      <w:bookmarkStart w:id="487" w:name="Tc_3CpuCrig3EOkCP4J-6dIKA_9_12"/>
      <w:bookmarkStart w:id="488" w:name="Tc_dBqfy3qpPU2qsI2zudVgFg_9_9"/>
      <w:bookmarkStart w:id="489" w:name="Tc_yetwFTRFTEi4Tu7W7dN54A_9_6"/>
      <w:bookmarkStart w:id="490" w:name="Tc_0E6Uuy3I80W4vjNbWUXzGQ_9_3"/>
      <w:bookmarkStart w:id="491" w:name="Tc_hUU0lUNWdUqWDuDWmmInBg_9_0"/>
      <w:bookmarkStart w:id="492" w:name="Tc_6t8TacvUdk6fb1LUWtbF0Q_8_15"/>
      <w:bookmarkStart w:id="493" w:name="Tc_v43SJTqnS0Kh-Pv8RKkqSw_8_9"/>
      <w:bookmarkStart w:id="494" w:name="Tc_DEeuJ6GTik2HLmnMYhd6kA_8_6"/>
      <w:bookmarkStart w:id="495" w:name="Tc__zj3oo5TukaMj8aQ9oihew_8_3"/>
      <w:bookmarkStart w:id="496" w:name="Tc_u6XkJAZwjk6O6D6SqcfRXQ_8_0"/>
      <w:bookmarkStart w:id="497" w:name="Tc_MIosIwD0cUmLVmHuv1g6ow_7_15"/>
      <w:bookmarkStart w:id="498" w:name="Tc_ZLnoiFEgLk6tDi_rgg936g_7_12"/>
      <w:bookmarkStart w:id="499" w:name="Tc_tJn5hiS-KkKnHLnIIIophg_7_6"/>
      <w:bookmarkStart w:id="500" w:name="Tc_0oCqrj7MyUu3AFJLIX8oaA_7_3"/>
      <w:bookmarkStart w:id="501" w:name="Tc_QaAxSGbt2E-jMXhTgiCn3Q_7_0"/>
      <w:bookmarkStart w:id="502" w:name="Tc_TWcilI811U2MTDxx99UKXA_6_20"/>
      <w:bookmarkStart w:id="503" w:name="Tc_0pXAq_QgAU29DQveUwkt4g_6_17"/>
      <w:bookmarkStart w:id="504" w:name="Tc_n93IbkfkO0C9WUsqRKrt2w_6_14"/>
      <w:bookmarkStart w:id="505" w:name="Tc_8pEuphwhFkyQtkysDT8vxQ_6_11"/>
      <w:bookmarkStart w:id="506" w:name="Tc_tktQUrpACUyF22Q-SMkHaQ_6_8"/>
      <w:bookmarkStart w:id="507" w:name="Tc__OrLTMw8O0qmD7bKYfB9UA_6_5"/>
      <w:bookmarkStart w:id="508" w:name="Tc_fZgIon49oUSDilx7CwvV5Q_6_2"/>
      <w:bookmarkStart w:id="509" w:name="Tc_RRBo5HDZdU2JzblQIxRy2Q_6_0"/>
      <w:bookmarkStart w:id="510" w:name="Tc_pbxlr_4Q7k20wEqv4_AUug_5_20"/>
      <w:bookmarkStart w:id="511" w:name="Tc_NQxkJ4lPn0Sq1OCgyHwtKw_5_17"/>
      <w:bookmarkStart w:id="512" w:name="Tc_8OliVUtb70C7Dko4yeeHHw_5_14"/>
      <w:bookmarkStart w:id="513" w:name="Tc_bVVhOvjxHUC3jKY4JyUZRA_5_11"/>
      <w:bookmarkStart w:id="514" w:name="Tc_YoTXLlE2mk68V9lxEN-zkQ_5_8"/>
      <w:bookmarkStart w:id="515" w:name="Tc_evsZgsHkJ0OvHm0omAhZAg_5_5"/>
      <w:bookmarkStart w:id="516" w:name="Tc_nRpfuzJS00C53XOLsulpfQ_5_2"/>
      <w:bookmarkStart w:id="517" w:name="Tc_ZRrW9jS-M0CCp297yr6ftQ_4_17"/>
      <w:bookmarkStart w:id="518" w:name="Tc_EzGRHJtnLkWY83swhrQ1Yg_4_14"/>
      <w:bookmarkStart w:id="519" w:name="Tc_8SWn1N00mU6njjlpElG8Yg_4_11"/>
      <w:bookmarkStart w:id="520" w:name="Tc_a4QjI0RMX06ILSzvE3a2Vw_4_8"/>
      <w:bookmarkStart w:id="521" w:name="Tc_PLbP1rQEm0qBtVFG-N1DQg_4_5"/>
      <w:bookmarkStart w:id="522" w:name="Tc_1ZqFyWuO6kWMiarWo7TPXw_4_2"/>
      <w:bookmarkStart w:id="523" w:name="Tc_Wr1sJZv0lE6gG0g9ytMvmA_3_17"/>
      <w:bookmarkStart w:id="524" w:name="Tc_rq9cWRvb8Ue8zD3_oc_XSw_3_11"/>
      <w:bookmarkStart w:id="525" w:name="Tc_qMM8jMuwkEKGOvlJEViIcQ_3_5"/>
      <w:bookmarkStart w:id="526" w:name="Tc_VbHBbm04EEGwoMSPqDBGkA_2_11"/>
      <w:bookmarkStart w:id="527" w:name="Tc_0joHwA27dU2dW5k9yYGFtw_1_2"/>
      <w:bookmarkStart w:id="528" w:name="_bc3165fc_fb50_45f9_a3b3_1d98391c5157"/>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tbl>
      <w:tblPr>
        <w:tblW w:w="10205" w:type="dxa"/>
        <w:jc w:val="left"/>
        <w:tblInd w:w="0" w:type="dxa"/>
        <w:tblLayout w:type="fixed"/>
        <w:tblCellMar>
          <w:top w:w="0" w:type="dxa"/>
          <w:left w:w="0" w:type="dxa"/>
          <w:bottom w:w="0" w:type="dxa"/>
          <w:right w:w="0" w:type="dxa"/>
        </w:tblCellMar>
      </w:tblPr>
      <w:tblGrid>
        <w:gridCol w:w="2954"/>
        <w:gridCol w:w="109"/>
        <w:gridCol w:w="298"/>
        <w:gridCol w:w="528"/>
        <w:gridCol w:w="109"/>
        <w:gridCol w:w="258"/>
        <w:gridCol w:w="673"/>
        <w:gridCol w:w="109"/>
        <w:gridCol w:w="220"/>
        <w:gridCol w:w="576"/>
        <w:gridCol w:w="109"/>
        <w:gridCol w:w="317"/>
        <w:gridCol w:w="929"/>
        <w:gridCol w:w="109"/>
        <w:gridCol w:w="234"/>
        <w:gridCol w:w="577"/>
        <w:gridCol w:w="109"/>
        <w:gridCol w:w="258"/>
        <w:gridCol w:w="673"/>
        <w:gridCol w:w="109"/>
        <w:gridCol w:w="196"/>
        <w:gridCol w:w="751"/>
      </w:tblGrid>
      <w:tr>
        <w:trPr/>
        <w:tc>
          <w:tcPr>
            <w:tcW w:w="2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875790" cy="175260"/>
                      <wp:effectExtent l="0" t="0" r="0" b="0"/>
                      <wp:wrapNone/>
                      <wp:docPr id="57" name="Frame57"/>
                      <a:graphic xmlns:a="http://schemas.openxmlformats.org/drawingml/2006/main">
                        <a:graphicData uri="http://schemas.microsoft.com/office/word/2010/wordprocessingShape">
                          <wps:wsp>
                            <wps:cNvSpPr txBox="1"/>
                            <wps:spPr>
                              <a:xfrm>
                                <a:off x="0" y="0"/>
                                <a:ext cx="1875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9230" cy="175260"/>
                      <wp:effectExtent l="0" t="0" r="0" b="0"/>
                      <wp:wrapNone/>
                      <wp:docPr id="59" name="Frame59"/>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35280" cy="175260"/>
                      <wp:effectExtent l="0" t="0" r="0" b="0"/>
                      <wp:wrapNone/>
                      <wp:docPr id="60" name="Frame60"/>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63830" cy="175260"/>
                      <wp:effectExtent l="0" t="0" r="0" b="0"/>
                      <wp:wrapNone/>
                      <wp:docPr id="62" name="Frame6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27355" cy="175260"/>
                      <wp:effectExtent l="0" t="0" r="0" b="0"/>
                      <wp:wrapNone/>
                      <wp:docPr id="63" name="Frame63"/>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9700" cy="175260"/>
                      <wp:effectExtent l="0" t="0" r="0" b="0"/>
                      <wp:wrapNone/>
                      <wp:docPr id="65" name="Frame65"/>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65760" cy="175260"/>
                      <wp:effectExtent l="0" t="0" r="0" b="0"/>
                      <wp:wrapNone/>
                      <wp:docPr id="66" name="Frame66"/>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1295" cy="175260"/>
                      <wp:effectExtent l="0" t="0" r="0" b="0"/>
                      <wp:wrapNone/>
                      <wp:docPr id="68" name="Frame68"/>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89915" cy="175260"/>
                      <wp:effectExtent l="0" t="0" r="0" b="0"/>
                      <wp:wrapNone/>
                      <wp:docPr id="69" name="Frame69"/>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48590" cy="175260"/>
                      <wp:effectExtent l="0" t="0" r="0" b="0"/>
                      <wp:wrapNone/>
                      <wp:docPr id="71" name="Frame71"/>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66395" cy="175260"/>
                      <wp:effectExtent l="0" t="0" r="0" b="0"/>
                      <wp:wrapNone/>
                      <wp:docPr id="72" name="Frame72"/>
                      <a:graphic xmlns:a="http://schemas.openxmlformats.org/drawingml/2006/main">
                        <a:graphicData uri="http://schemas.microsoft.com/office/word/2010/wordprocessingShape">
                          <wps:wsp>
                            <wps:cNvSpPr txBox="1"/>
                            <wps:spPr>
                              <a:xfrm>
                                <a:off x="0" y="0"/>
                                <a:ext cx="366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63830" cy="175260"/>
                      <wp:effectExtent l="0" t="0" r="0" b="0"/>
                      <wp:wrapNone/>
                      <wp:docPr id="74" name="Frame7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27355" cy="175260"/>
                      <wp:effectExtent l="0" t="0" r="0" b="0"/>
                      <wp:wrapNone/>
                      <wp:docPr id="75" name="Frame75"/>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6" name="Frame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4460" cy="175260"/>
                      <wp:effectExtent l="0" t="0" r="0" b="0"/>
                      <wp:wrapNone/>
                      <wp:docPr id="77" name="Frame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76885" cy="175260"/>
                      <wp:effectExtent l="0" t="0" r="0" b="0"/>
                      <wp:wrapNone/>
                      <wp:docPr id="78" name="Frame7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142" w:type="dxa"/>
            <w:gridSpan w:val="2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 2025 and 2026</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98" w:type="dxa"/>
            <w:tcBorders/>
            <w:vAlign w:val="center"/>
          </w:tcPr>
          <w:p>
            <w:pPr>
              <w:pStyle w:val="TableContents"/>
              <w:bidi w:val="0"/>
              <w:spacing w:before="0" w:after="1"/>
              <w:ind w:left="0" w:right="0" w:hanging="0"/>
              <w:jc w:val="center"/>
              <w:rPr/>
            </w:pPr>
            <w:r>
              <w:rPr/>
              <w:t>​</w:t>
            </w:r>
          </w:p>
        </w:tc>
        <w:tc>
          <w:tcPr>
            <w:tcW w:w="5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58" w:type="dxa"/>
            <w:tcBorders/>
            <w:vAlign w:val="center"/>
          </w:tcPr>
          <w:p>
            <w:pPr>
              <w:pStyle w:val="TableContents"/>
              <w:bidi w:val="0"/>
              <w:spacing w:before="0" w:after="1"/>
              <w:ind w:left="0" w:right="0" w:hanging="0"/>
              <w:jc w:val="center"/>
              <w:rPr/>
            </w:pPr>
            <w:r>
              <w:rPr/>
              <w:t>​</w:t>
            </w:r>
          </w:p>
        </w:tc>
        <w:tc>
          <w:tcPr>
            <w:tcW w:w="6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20" w:type="dxa"/>
            <w:tcBorders/>
            <w:vAlign w:val="center"/>
          </w:tcPr>
          <w:p>
            <w:pPr>
              <w:pStyle w:val="TableContents"/>
              <w:bidi w:val="0"/>
              <w:spacing w:before="0" w:after="1"/>
              <w:ind w:left="0" w:right="0" w:hanging="0"/>
              <w:jc w:val="center"/>
              <w:rPr/>
            </w:pPr>
            <w:r>
              <w:rPr/>
              <w:t>​</w:t>
            </w:r>
          </w:p>
        </w:tc>
        <w:tc>
          <w:tcPr>
            <w:tcW w:w="5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109" w:type="dxa"/>
            <w:tcBorders/>
            <w:vAlign w:val="center"/>
          </w:tcPr>
          <w:p>
            <w:pPr>
              <w:pStyle w:val="TableContents"/>
              <w:bidi w:val="0"/>
              <w:spacing w:before="0" w:after="1"/>
              <w:ind w:left="0" w:right="0" w:hanging="0"/>
              <w:jc w:val="center"/>
              <w:rPr/>
            </w:pPr>
            <w:r>
              <w:rPr/>
              <w:t>​</w:t>
            </w:r>
          </w:p>
        </w:tc>
        <w:tc>
          <w:tcPr>
            <w:tcW w:w="234" w:type="dxa"/>
            <w:tcBorders/>
            <w:vAlign w:val="center"/>
          </w:tcPr>
          <w:p>
            <w:pPr>
              <w:pStyle w:val="TableContents"/>
              <w:bidi w:val="0"/>
              <w:spacing w:before="0" w:after="1"/>
              <w:ind w:left="0" w:right="0" w:hanging="0"/>
              <w:jc w:val="center"/>
              <w:rPr/>
            </w:pPr>
            <w:r>
              <w:rPr/>
              <w:t>​</w:t>
            </w:r>
          </w:p>
        </w:tc>
        <w:tc>
          <w:tcPr>
            <w:tcW w:w="5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58" w:type="dxa"/>
            <w:tcBorders/>
            <w:vAlign w:val="center"/>
          </w:tcPr>
          <w:p>
            <w:pPr>
              <w:pStyle w:val="TableContents"/>
              <w:bidi w:val="0"/>
              <w:spacing w:before="0" w:after="1"/>
              <w:ind w:left="0" w:right="0" w:hanging="0"/>
              <w:jc w:val="center"/>
              <w:rPr/>
            </w:pPr>
            <w:r>
              <w:rPr/>
              <w:t>​</w:t>
            </w:r>
          </w:p>
        </w:tc>
        <w:tc>
          <w:tcPr>
            <w:tcW w:w="6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center"/>
              <w:rPr/>
            </w:pPr>
            <w:r>
              <w:rPr/>
              <w:t>​</w:t>
            </w:r>
          </w:p>
        </w:tc>
        <w:tc>
          <w:tcPr>
            <w:tcW w:w="5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109" w:type="dxa"/>
            <w:tcBorders/>
            <w:vAlign w:val="center"/>
          </w:tcPr>
          <w:p>
            <w:pPr>
              <w:pStyle w:val="TableContents"/>
              <w:bidi w:val="0"/>
              <w:spacing w:before="0" w:after="1"/>
              <w:ind w:left="0" w:right="0" w:hanging="0"/>
              <w:jc w:val="center"/>
              <w:rPr/>
            </w:pPr>
            <w:r>
              <w:rPr/>
              <w:t>​</w:t>
            </w:r>
          </w:p>
        </w:tc>
        <w:tc>
          <w:tcPr>
            <w:tcW w:w="220" w:type="dxa"/>
            <w:tcBorders/>
            <w:vAlign w:val="center"/>
          </w:tcPr>
          <w:p>
            <w:pPr>
              <w:pStyle w:val="TableContents"/>
              <w:bidi w:val="0"/>
              <w:spacing w:before="0" w:after="1"/>
              <w:ind w:left="0" w:right="0" w:hanging="0"/>
              <w:jc w:val="center"/>
              <w:rPr/>
            </w:pPr>
            <w:r>
              <w:rPr/>
              <w:t>​</w:t>
            </w:r>
          </w:p>
        </w:tc>
        <w:tc>
          <w:tcPr>
            <w:tcW w:w="5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109" w:type="dxa"/>
            <w:tcBorders/>
            <w:vAlign w:val="center"/>
          </w:tcPr>
          <w:p>
            <w:pPr>
              <w:pStyle w:val="TableContents"/>
              <w:bidi w:val="0"/>
              <w:spacing w:before="0" w:after="1"/>
              <w:ind w:left="0" w:right="0" w:hanging="0"/>
              <w:jc w:val="center"/>
              <w:rPr/>
            </w:pPr>
            <w:r>
              <w:rPr/>
              <w:t>​</w:t>
            </w:r>
          </w:p>
        </w:tc>
        <w:tc>
          <w:tcPr>
            <w:tcW w:w="234" w:type="dxa"/>
            <w:tcBorders/>
            <w:vAlign w:val="center"/>
          </w:tcPr>
          <w:p>
            <w:pPr>
              <w:pStyle w:val="TableContents"/>
              <w:bidi w:val="0"/>
              <w:spacing w:before="0" w:after="1"/>
              <w:ind w:left="0" w:right="0" w:hanging="0"/>
              <w:jc w:val="center"/>
              <w:rPr/>
            </w:pPr>
            <w:r>
              <w:rPr/>
              <w:t>​</w:t>
            </w:r>
          </w:p>
        </w:tc>
        <w:tc>
          <w:tcPr>
            <w:tcW w:w="5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Non-</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109"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Retained</w:t>
            </w:r>
          </w:p>
        </w:tc>
        <w:tc>
          <w:tcPr>
            <w:tcW w:w="109"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109" w:type="dxa"/>
            <w:tcBorders/>
            <w:vAlign w:val="center"/>
          </w:tcPr>
          <w:p>
            <w:pPr>
              <w:pStyle w:val="TableContents"/>
              <w:bidi w:val="0"/>
              <w:spacing w:before="0" w:after="1"/>
              <w:ind w:left="0" w:right="0" w:hanging="0"/>
              <w:jc w:val="center"/>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Treasury</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controlling</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109" w:type="dxa"/>
            <w:tcBorders/>
            <w:vAlign w:val="center"/>
          </w:tcPr>
          <w:p>
            <w:pPr>
              <w:pStyle w:val="TableContents"/>
              <w:bidi w:val="0"/>
              <w:spacing w:before="0" w:after="1"/>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earnings</w:t>
            </w:r>
          </w:p>
        </w:tc>
        <w:tc>
          <w:tcPr>
            <w:tcW w:w="109" w:type="dxa"/>
            <w:tcBorders/>
            <w:vAlign w:val="center"/>
          </w:tcPr>
          <w:p>
            <w:pPr>
              <w:pStyle w:val="TableContents"/>
              <w:bidi w:val="0"/>
              <w:spacing w:before="0" w:after="1"/>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loss</w:t>
            </w:r>
          </w:p>
        </w:tc>
        <w:tc>
          <w:tcPr>
            <w:tcW w:w="109" w:type="dxa"/>
            <w:tcBorders/>
            <w:vAlign w:val="center"/>
          </w:tcPr>
          <w:p>
            <w:pPr>
              <w:pStyle w:val="TableContents"/>
              <w:bidi w:val="0"/>
              <w:spacing w:before="0" w:after="1"/>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interest</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at March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669.9</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589.3</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(147.4)</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1,413.3</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5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5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net</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5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5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Dividends paid to noncontrolling interest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5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5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 $.08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5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5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2954"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transactions with noncontrolling interest, net and other</w:t>
            </w:r>
          </w:p>
        </w:tc>
        <w:tc>
          <w:tcPr>
            <w:tcW w:w="109" w:type="dxa"/>
            <w:tcBorders/>
            <w:vAlign w:val="center"/>
          </w:tcPr>
          <w:p>
            <w:pPr>
              <w:pStyle w:val="TableContents"/>
              <w:bidi w:val="0"/>
              <w:spacing w:before="0" w:after="1"/>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w:t>
            </w:r>
          </w:p>
        </w:tc>
      </w:tr>
      <w:tr>
        <w:trPr/>
        <w:tc>
          <w:tcPr>
            <w:tcW w:w="295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5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57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at June 30, 2025</w:t>
            </w:r>
          </w:p>
        </w:tc>
        <w:tc>
          <w:tcPr>
            <w:tcW w:w="109" w:type="dxa"/>
            <w:tcBorders/>
            <w:vAlign w:val="center"/>
          </w:tcPr>
          <w:p>
            <w:pPr>
              <w:pStyle w:val="TableContents"/>
              <w:bidi w:val="0"/>
              <w:spacing w:before="0" w:after="1"/>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670.3</w:t>
            </w:r>
          </w:p>
        </w:tc>
        <w:tc>
          <w:tcPr>
            <w:tcW w:w="109"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588.0</w:t>
            </w:r>
          </w:p>
        </w:tc>
        <w:tc>
          <w:tcPr>
            <w:tcW w:w="109" w:type="dxa"/>
            <w:tcBorders/>
            <w:vAlign w:val="center"/>
          </w:tcPr>
          <w:p>
            <w:pPr>
              <w:pStyle w:val="TableContents"/>
              <w:bidi w:val="0"/>
              <w:spacing w:before="0" w:after="1"/>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(137.5)</w:t>
            </w:r>
          </w:p>
        </w:tc>
        <w:tc>
          <w:tcPr>
            <w:tcW w:w="109"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1,430.0</w:t>
            </w:r>
          </w:p>
        </w:tc>
      </w:tr>
      <w:tr>
        <w:trPr/>
        <w:tc>
          <w:tcPr>
            <w:tcW w:w="295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5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57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at March 31, 2026</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670.3</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507.7</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(102.9)</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344.9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1,370.7</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5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22.3</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5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35.5</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loss, net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5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(2.6)</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5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(3.4)</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Dividends paid to noncontrolling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5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5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(2.4)</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 $.08 per share</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57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(2.2)</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5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(2.2)</w:t>
            </w:r>
          </w:p>
        </w:tc>
      </w:tr>
      <w:tr>
        <w:trPr/>
        <w:tc>
          <w:tcPr>
            <w:tcW w:w="295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transactions with noncontrolling interest, net and other</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5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5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at June 30, 2026</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671.2</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527.8</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(105.5)</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(49.6)</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355.1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1,399.3</w:t>
            </w:r>
          </w:p>
        </w:tc>
      </w:tr>
    </w:tbl>
    <w:p>
      <w:pPr>
        <w:pStyle w:val="TextBody"/>
        <w:bidi w:val="0"/>
        <w:spacing w:before="0" w:after="240"/>
        <w:ind w:left="0" w:right="0" w:firstLine="720"/>
        <w:jc w:val="center"/>
        <w:rPr/>
      </w:pPr>
      <w:r>
        <w:rPr/>
        <w:t>​</w:t>
      </w:r>
    </w:p>
    <w:p>
      <w:pPr>
        <w:pStyle w:val="Normal"/>
        <w:bidi w:val="0"/>
        <w:spacing w:before="0" w:after="0"/>
        <w:jc w:val="left"/>
        <w:rPr>
          <w:sz w:val="4"/>
          <w:szCs w:val="4"/>
        </w:rPr>
      </w:pPr>
      <w:r>
        <w:rPr>
          <w:sz w:val="4"/>
          <w:szCs w:val="4"/>
        </w:rPr>
      </w:r>
      <w:bookmarkStart w:id="529" w:name="Tc_vRCaW1ZOZkuQzaNHmRNfFg_22_20"/>
      <w:bookmarkStart w:id="530" w:name="Tc_nxlxHg2sgUG4uUX7HC6Hkw_22_17"/>
      <w:bookmarkStart w:id="531" w:name="Tc_PmeKwRXfxEi3OuA3TedHeQ_22_14"/>
      <w:bookmarkStart w:id="532" w:name="Tc_YSXwEpl5IEeFw_JX2N4_-w_22_11"/>
      <w:bookmarkStart w:id="533" w:name="Tc_v1OhZ3LMOkK3hKjlDJT6mA_22_8"/>
      <w:bookmarkStart w:id="534" w:name="Tc_0mVbcclv-UKmI22rwoaDyw_22_5"/>
      <w:bookmarkStart w:id="535" w:name="Tc_mUvIj0E9d0mG0U25DbZmIA_22_2"/>
      <w:bookmarkStart w:id="536" w:name="Tc_KUHatJaPC0OTSQwh1W5AqA_22_0"/>
      <w:bookmarkStart w:id="537" w:name="Tc_dUAwi5mDGEmUCum8aT0hzQ_20_15"/>
      <w:bookmarkStart w:id="538" w:name="Tc_PMN7ZSCFtE-x5YBwQEVOTQ_20_12"/>
      <w:bookmarkStart w:id="539" w:name="Tc_Fg7taSpSR0Gx4o1G6Ubatw_20_9"/>
      <w:bookmarkStart w:id="540" w:name="Tc_TMuswkxEQUmZw3QlQcxe-Q_20_3"/>
      <w:bookmarkStart w:id="541" w:name="Tc_Cuq7WZGgv0uReitjeyHYUQ_20_0"/>
      <w:bookmarkStart w:id="542" w:name="Tc_Izb-J2kM3EeaYlVJGJodEg_19_18"/>
      <w:bookmarkStart w:id="543" w:name="Tc_sgsI0alSx0O4hBQB8GCpjA_19_15"/>
      <w:bookmarkStart w:id="544" w:name="Tc_YcrI2q9J1EStjMKZI3gDtg_19_12"/>
      <w:bookmarkStart w:id="545" w:name="Tc_VX01aJsvLEqGkCKIdc8QNw_19_6"/>
      <w:bookmarkStart w:id="546" w:name="Tc__EXcpqsiIEGu1hOLLz2wlQ_19_3"/>
      <w:bookmarkStart w:id="547" w:name="Tc_Df_wPKVDLECtMvJdAIvrJw_19_0"/>
      <w:bookmarkStart w:id="548" w:name="Tc_u3jSdhFcu0ec689OshB-Lw_18_15"/>
      <w:bookmarkStart w:id="549" w:name="Tc_RVR-rQme4UCyjJFERbQjBw_18_12"/>
      <w:bookmarkStart w:id="550" w:name="Tc_8bSYSfE8ekeLjDb5PfCpTQ_18_9"/>
      <w:bookmarkStart w:id="551" w:name="Tc_tQmeNqp4o02au9uMHcaXgA_18_6"/>
      <w:bookmarkStart w:id="552" w:name="Tc_2r_i0u2m5kuC4scMU-HaSA_18_3"/>
      <w:bookmarkStart w:id="553" w:name="Tc_CjIUyiswk0ulPkYWw3N7FA_18_0"/>
      <w:bookmarkStart w:id="554" w:name="Tc_yGnUl56B2EGvLcIQnG5JIA_17_15"/>
      <w:bookmarkStart w:id="555" w:name="Tc_oJofpJdy_0GlEyDvww-SKA_17_9"/>
      <w:bookmarkStart w:id="556" w:name="Tc_GM_lZcu030GKKnMLN63blQ_17_6"/>
      <w:bookmarkStart w:id="557" w:name="Tc_kiz4CNoqDEOEaPc4FG5aVA_17_3"/>
      <w:bookmarkStart w:id="558" w:name="Tc_LfJKmvPg00il9VhiLsZ_lQ_17_0"/>
      <w:bookmarkStart w:id="559" w:name="Tc_ISTwysiu1EKj-YvE0PeOzA_16_15"/>
      <w:bookmarkStart w:id="560" w:name="Tc_Boy_7-2_tkSDqYyCTPTZTg_16_12"/>
      <w:bookmarkStart w:id="561" w:name="Tc_nlQA76i6g0eTH61SXZxS_w_16_6"/>
      <w:bookmarkStart w:id="562" w:name="Tc_NhrzI4Hym0qdcP9mrn7izw_16_3"/>
      <w:bookmarkStart w:id="563" w:name="Tc_X6GxLQIlykmf1bf74ooLiQ_16_0"/>
      <w:bookmarkStart w:id="564" w:name="Tc_DLMqJ4-YNk6FOFfXOn1ybA_15_20"/>
      <w:bookmarkStart w:id="565" w:name="Tc_mzG-IgvPuEOnsPF8r71KaQ_15_17"/>
      <w:bookmarkStart w:id="566" w:name="Tc_0INnitfx3kaH4ae7kk-CFQ_15_14"/>
      <w:bookmarkStart w:id="567" w:name="Tc_ibg6aPUobk6UffZ7v2uKBA_15_11"/>
      <w:bookmarkStart w:id="568" w:name="Tc_00NF8yiNN0OPMuPX9-KA8w_15_8"/>
      <w:bookmarkStart w:id="569" w:name="Tc_EpgLiD2eV0aZwIi7iVeavw_15_5"/>
      <w:bookmarkStart w:id="570" w:name="Tc_3IdxIuAGCUy6pmdkR6tTTQ_15_2"/>
      <w:bookmarkStart w:id="571" w:name="Tc_EIZp3Chx4Uycz3ys8pngyQ_15_0"/>
      <w:bookmarkStart w:id="572" w:name="Tc_4CSUmVKqG061xqXFNLCITQ_13_20"/>
      <w:bookmarkStart w:id="573" w:name="Tc_6l8k_N9abkyAgHfoR9KuUQ_13_17"/>
      <w:bookmarkStart w:id="574" w:name="Tc_Wk81l5SHQkGU-5g9VT7S-A_13_14"/>
      <w:bookmarkStart w:id="575" w:name="Tc_mCjUgIVN-Uqbw64LH1uB9A_13_11"/>
      <w:bookmarkStart w:id="576" w:name="Tc_4HP0msdzg0aPD58ZkZK0WQ_13_8"/>
      <w:bookmarkStart w:id="577" w:name="Tc_W5gT0wJoqUmYaQxCmGJstw_13_5"/>
      <w:bookmarkStart w:id="578" w:name="Tc_-1jVx-5AuE6dEKaIvFrkYQ_13_2"/>
      <w:bookmarkStart w:id="579" w:name="Tc_qtKoCeAadkm_iYXzBDYttw_13_0"/>
      <w:bookmarkStart w:id="580" w:name="Tc_8WYEWx5ANUeauucQ5Nu2Zg_11_18"/>
      <w:bookmarkStart w:id="581" w:name="Tc_O2SPZKUhnUa-i5ijNYLdhw_11_15"/>
      <w:bookmarkStart w:id="582" w:name="Tc_vVhFQAbfQE6WBvpsQum6Lg_11_12"/>
      <w:bookmarkStart w:id="583" w:name="Tc_wbEUK9msWEmaYtPCyMVM2w_11_9"/>
      <w:bookmarkStart w:id="584" w:name="Tc_bBBuMAzDYUm6zuidyvMfGQ_11_3"/>
      <w:bookmarkStart w:id="585" w:name="Tc_z4Apzs8h6EC7F3T7qfHBLA_11_0"/>
      <w:bookmarkStart w:id="586" w:name="Tc_6aJI9k8_lkavHSbLLiWnJg_10_18"/>
      <w:bookmarkStart w:id="587" w:name="Tc_U3LBOybpz0y2pESyDdI3qw_10_15"/>
      <w:bookmarkStart w:id="588" w:name="Tc__weAEuMsTUeH9JIWxOkoaQ_10_12"/>
      <w:bookmarkStart w:id="589" w:name="Tc_IKaTICktJ0-ao0MTC-9fFA_10_6"/>
      <w:bookmarkStart w:id="590" w:name="Tc_G9L3I29ftkK366wgbiIZIw_10_3"/>
      <w:bookmarkStart w:id="591" w:name="Tc_jEFfwlgdtk-yE-3O8v_xyA_10_0"/>
      <w:bookmarkStart w:id="592" w:name="Tc_2o56QlyEskGum47ezXKugQ_9_15"/>
      <w:bookmarkStart w:id="593" w:name="Tc_hgEQPkSdn0i-LXkcDWutlg_9_12"/>
      <w:bookmarkStart w:id="594" w:name="Tc_E-WM8UipSkWT2l9dD_suNw_9_9"/>
      <w:bookmarkStart w:id="595" w:name="Tc_5CAlc9wi20e3Xi5QhvkGuA_9_6"/>
      <w:bookmarkStart w:id="596" w:name="Tc_N0THSjeFLUSH05NwehUa9g_9_3"/>
      <w:bookmarkStart w:id="597" w:name="Tc_UmBV4nGLd0WbvS1eRtWE4g_9_0"/>
      <w:bookmarkStart w:id="598" w:name="Tc_FJ-v_o3pn0SMD_Mzu2aMmA_8_15"/>
      <w:bookmarkStart w:id="599" w:name="Tc_2PhH6EO7xEOTCIkO_DMLig_8_9"/>
      <w:bookmarkStart w:id="600" w:name="Tc_2qwO-z9-okamHGmzGXWW0w_8_6"/>
      <w:bookmarkStart w:id="601" w:name="Tc_xXI-zmLE6kuIT0fF0o3A5Q_8_3"/>
      <w:bookmarkStart w:id="602" w:name="Tc_wk-b571IxE29E8pp4lQgxA_8_0"/>
      <w:bookmarkStart w:id="603" w:name="Tc_wKg95uxRfkOMO0gr27xWmw_7_15"/>
      <w:bookmarkStart w:id="604" w:name="Tc_BTDl6Z6MWEicTUE9_Elsqw_7_12"/>
      <w:bookmarkStart w:id="605" w:name="Tc_4h8VWB8l3UOWr2MtX5tt8Q_7_6"/>
      <w:bookmarkStart w:id="606" w:name="Tc_nCqOpYwih0ymlO_W6igBfw_7_3"/>
      <w:bookmarkStart w:id="607" w:name="Tc_EefvOY8xpkaHvB9GcY5bog_7_0"/>
      <w:bookmarkStart w:id="608" w:name="Tc_Ut7Ylx12_EeU3F-9vtTMsg_6_20"/>
      <w:bookmarkStart w:id="609" w:name="Tc_b0r6BuaZKkSnfJam2QckdA_6_17"/>
      <w:bookmarkStart w:id="610" w:name="Tc_ofEpPodzfkOn2x8MFexM2Q_6_14"/>
      <w:bookmarkStart w:id="611" w:name="Tc_NxEh19NjNEaz7jF3mTGtPA_6_11"/>
      <w:bookmarkStart w:id="612" w:name="Tc_D8Lg32oDTUixSw293kNM7g_6_8"/>
      <w:bookmarkStart w:id="613" w:name="Tc_GKnIkFaBzEuklvXSxvJ-4w_6_5"/>
      <w:bookmarkStart w:id="614" w:name="Tc_9rJCXLWRTUSX3yIReLXI5A_6_2"/>
      <w:bookmarkStart w:id="615" w:name="Tc_oNSiEMMzGkmlC8Kxul6cXQ_6_0"/>
      <w:bookmarkStart w:id="616" w:name="Tc_K-hdpKMudEuALTSt9QtqoA_5_20"/>
      <w:bookmarkStart w:id="617" w:name="Tc_mk49MJkMhEuIrPL8yA3_zQ_5_17"/>
      <w:bookmarkStart w:id="618" w:name="Tc_X_FnNRjvRE6XhVKIsgy1rg_5_14"/>
      <w:bookmarkStart w:id="619" w:name="Tc_-h6oo4sDlUW3lbpCU-ERrA_5_11"/>
      <w:bookmarkStart w:id="620" w:name="Tc_VwVHzE1vqEOJiDxU2mi6Ag_5_8"/>
      <w:bookmarkStart w:id="621" w:name="Tc_cedB9FwIM0if0_xYpLet3A_5_5"/>
      <w:bookmarkStart w:id="622" w:name="Tc_az6s5-HBb02fEx74z_06PA_5_2"/>
      <w:bookmarkStart w:id="623" w:name="Tc_9vNtil5oakmgaqaehzL1fg_4_17"/>
      <w:bookmarkStart w:id="624" w:name="Tc_pb83HjhT1EGtofgntFzQQQ_4_14"/>
      <w:bookmarkStart w:id="625" w:name="Tc_p1Slwdtt20WwnwksAF8B6Q_4_11"/>
      <w:bookmarkStart w:id="626" w:name="Tc_I5wmUOwTWEGJuz8Zrq61Hg_4_8"/>
      <w:bookmarkStart w:id="627" w:name="Tc_9x2Kj-WPPkiA82C2OtriPA_4_5"/>
      <w:bookmarkStart w:id="628" w:name="Tc_k6rJbEszSkC90P5Jc1fq8g_4_2"/>
      <w:bookmarkStart w:id="629" w:name="Tc_FbR3snsDJUGt1PD4jIZWIA_3_17"/>
      <w:bookmarkStart w:id="630" w:name="Tc_lCITzv0LKEShYM9NJ7l5yQ_3_11"/>
      <w:bookmarkStart w:id="631" w:name="Tc_WjYoD4FxFU-VfK7lB2CszQ_3_5"/>
      <w:bookmarkStart w:id="632" w:name="Tc_W0JIDvInBkecbZPJfanIEw_2_11"/>
      <w:bookmarkStart w:id="633" w:name="Tc_KVSyT2fTiUqxnJQl2Eqkvw_1_2"/>
      <w:bookmarkStart w:id="634" w:name="_d377d4b8_28be_4dc5_8fb8_aefeb4d1dcd7"/>
      <w:bookmarkStart w:id="635" w:name="Tc_vRCaW1ZOZkuQzaNHmRNfFg_22_20"/>
      <w:bookmarkStart w:id="636" w:name="Tc_nxlxHg2sgUG4uUX7HC6Hkw_22_17"/>
      <w:bookmarkStart w:id="637" w:name="Tc_PmeKwRXfxEi3OuA3TedHeQ_22_14"/>
      <w:bookmarkStart w:id="638" w:name="Tc_YSXwEpl5IEeFw_JX2N4_-w_22_11"/>
      <w:bookmarkStart w:id="639" w:name="Tc_v1OhZ3LMOkK3hKjlDJT6mA_22_8"/>
      <w:bookmarkStart w:id="640" w:name="Tc_0mVbcclv-UKmI22rwoaDyw_22_5"/>
      <w:bookmarkStart w:id="641" w:name="Tc_mUvIj0E9d0mG0U25DbZmIA_22_2"/>
      <w:bookmarkStart w:id="642" w:name="Tc_KUHatJaPC0OTSQwh1W5AqA_22_0"/>
      <w:bookmarkStart w:id="643" w:name="Tc_dUAwi5mDGEmUCum8aT0hzQ_20_15"/>
      <w:bookmarkStart w:id="644" w:name="Tc_PMN7ZSCFtE-x5YBwQEVOTQ_20_12"/>
      <w:bookmarkStart w:id="645" w:name="Tc_Fg7taSpSR0Gx4o1G6Ubatw_20_9"/>
      <w:bookmarkStart w:id="646" w:name="Tc_TMuswkxEQUmZw3QlQcxe-Q_20_3"/>
      <w:bookmarkStart w:id="647" w:name="Tc_Cuq7WZGgv0uReitjeyHYUQ_20_0"/>
      <w:bookmarkStart w:id="648" w:name="Tc_Izb-J2kM3EeaYlVJGJodEg_19_18"/>
      <w:bookmarkStart w:id="649" w:name="Tc_sgsI0alSx0O4hBQB8GCpjA_19_15"/>
      <w:bookmarkStart w:id="650" w:name="Tc_YcrI2q9J1EStjMKZI3gDtg_19_12"/>
      <w:bookmarkStart w:id="651" w:name="Tc_VX01aJsvLEqGkCKIdc8QNw_19_6"/>
      <w:bookmarkStart w:id="652" w:name="Tc__EXcpqsiIEGu1hOLLz2wlQ_19_3"/>
      <w:bookmarkStart w:id="653" w:name="Tc_Df_wPKVDLECtMvJdAIvrJw_19_0"/>
      <w:bookmarkStart w:id="654" w:name="Tc_u3jSdhFcu0ec689OshB-Lw_18_15"/>
      <w:bookmarkStart w:id="655" w:name="Tc_RVR-rQme4UCyjJFERbQjBw_18_12"/>
      <w:bookmarkStart w:id="656" w:name="Tc_8bSYSfE8ekeLjDb5PfCpTQ_18_9"/>
      <w:bookmarkStart w:id="657" w:name="Tc_tQmeNqp4o02au9uMHcaXgA_18_6"/>
      <w:bookmarkStart w:id="658" w:name="Tc_2r_i0u2m5kuC4scMU-HaSA_18_3"/>
      <w:bookmarkStart w:id="659" w:name="Tc_CjIUyiswk0ulPkYWw3N7FA_18_0"/>
      <w:bookmarkStart w:id="660" w:name="Tc_yGnUl56B2EGvLcIQnG5JIA_17_15"/>
      <w:bookmarkStart w:id="661" w:name="Tc_oJofpJdy_0GlEyDvww-SKA_17_9"/>
      <w:bookmarkStart w:id="662" w:name="Tc_GM_lZcu030GKKnMLN63blQ_17_6"/>
      <w:bookmarkStart w:id="663" w:name="Tc_kiz4CNoqDEOEaPc4FG5aVA_17_3"/>
      <w:bookmarkStart w:id="664" w:name="Tc_LfJKmvPg00il9VhiLsZ_lQ_17_0"/>
      <w:bookmarkStart w:id="665" w:name="Tc_ISTwysiu1EKj-YvE0PeOzA_16_15"/>
      <w:bookmarkStart w:id="666" w:name="Tc_Boy_7-2_tkSDqYyCTPTZTg_16_12"/>
      <w:bookmarkStart w:id="667" w:name="Tc_nlQA76i6g0eTH61SXZxS_w_16_6"/>
      <w:bookmarkStart w:id="668" w:name="Tc_NhrzI4Hym0qdcP9mrn7izw_16_3"/>
      <w:bookmarkStart w:id="669" w:name="Tc_X6GxLQIlykmf1bf74ooLiQ_16_0"/>
      <w:bookmarkStart w:id="670" w:name="Tc_DLMqJ4-YNk6FOFfXOn1ybA_15_20"/>
      <w:bookmarkStart w:id="671" w:name="Tc_mzG-IgvPuEOnsPF8r71KaQ_15_17"/>
      <w:bookmarkStart w:id="672" w:name="Tc_0INnitfx3kaH4ae7kk-CFQ_15_14"/>
      <w:bookmarkStart w:id="673" w:name="Tc_ibg6aPUobk6UffZ7v2uKBA_15_11"/>
      <w:bookmarkStart w:id="674" w:name="Tc_00NF8yiNN0OPMuPX9-KA8w_15_8"/>
      <w:bookmarkStart w:id="675" w:name="Tc_EpgLiD2eV0aZwIi7iVeavw_15_5"/>
      <w:bookmarkStart w:id="676" w:name="Tc_3IdxIuAGCUy6pmdkR6tTTQ_15_2"/>
      <w:bookmarkStart w:id="677" w:name="Tc_EIZp3Chx4Uycz3ys8pngyQ_15_0"/>
      <w:bookmarkStart w:id="678" w:name="Tc_4CSUmVKqG061xqXFNLCITQ_13_20"/>
      <w:bookmarkStart w:id="679" w:name="Tc_6l8k_N9abkyAgHfoR9KuUQ_13_17"/>
      <w:bookmarkStart w:id="680" w:name="Tc_Wk81l5SHQkGU-5g9VT7S-A_13_14"/>
      <w:bookmarkStart w:id="681" w:name="Tc_mCjUgIVN-Uqbw64LH1uB9A_13_11"/>
      <w:bookmarkStart w:id="682" w:name="Tc_4HP0msdzg0aPD58ZkZK0WQ_13_8"/>
      <w:bookmarkStart w:id="683" w:name="Tc_W5gT0wJoqUmYaQxCmGJstw_13_5"/>
      <w:bookmarkStart w:id="684" w:name="Tc_-1jVx-5AuE6dEKaIvFrkYQ_13_2"/>
      <w:bookmarkStart w:id="685" w:name="Tc_qtKoCeAadkm_iYXzBDYttw_13_0"/>
      <w:bookmarkStart w:id="686" w:name="Tc_8WYEWx5ANUeauucQ5Nu2Zg_11_18"/>
      <w:bookmarkStart w:id="687" w:name="Tc_O2SPZKUhnUa-i5ijNYLdhw_11_15"/>
      <w:bookmarkStart w:id="688" w:name="Tc_vVhFQAbfQE6WBvpsQum6Lg_11_12"/>
      <w:bookmarkStart w:id="689" w:name="Tc_wbEUK9msWEmaYtPCyMVM2w_11_9"/>
      <w:bookmarkStart w:id="690" w:name="Tc_bBBuMAzDYUm6zuidyvMfGQ_11_3"/>
      <w:bookmarkStart w:id="691" w:name="Tc_z4Apzs8h6EC7F3T7qfHBLA_11_0"/>
      <w:bookmarkStart w:id="692" w:name="Tc_6aJI9k8_lkavHSbLLiWnJg_10_18"/>
      <w:bookmarkStart w:id="693" w:name="Tc_U3LBOybpz0y2pESyDdI3qw_10_15"/>
      <w:bookmarkStart w:id="694" w:name="Tc__weAEuMsTUeH9JIWxOkoaQ_10_12"/>
      <w:bookmarkStart w:id="695" w:name="Tc_IKaTICktJ0-ao0MTC-9fFA_10_6"/>
      <w:bookmarkStart w:id="696" w:name="Tc_G9L3I29ftkK366wgbiIZIw_10_3"/>
      <w:bookmarkStart w:id="697" w:name="Tc_jEFfwlgdtk-yE-3O8v_xyA_10_0"/>
      <w:bookmarkStart w:id="698" w:name="Tc_2o56QlyEskGum47ezXKugQ_9_15"/>
      <w:bookmarkStart w:id="699" w:name="Tc_hgEQPkSdn0i-LXkcDWutlg_9_12"/>
      <w:bookmarkStart w:id="700" w:name="Tc_E-WM8UipSkWT2l9dD_suNw_9_9"/>
      <w:bookmarkStart w:id="701" w:name="Tc_5CAlc9wi20e3Xi5QhvkGuA_9_6"/>
      <w:bookmarkStart w:id="702" w:name="Tc_N0THSjeFLUSH05NwehUa9g_9_3"/>
      <w:bookmarkStart w:id="703" w:name="Tc_UmBV4nGLd0WbvS1eRtWE4g_9_0"/>
      <w:bookmarkStart w:id="704" w:name="Tc_FJ-v_o3pn0SMD_Mzu2aMmA_8_15"/>
      <w:bookmarkStart w:id="705" w:name="Tc_2PhH6EO7xEOTCIkO_DMLig_8_9"/>
      <w:bookmarkStart w:id="706" w:name="Tc_2qwO-z9-okamHGmzGXWW0w_8_6"/>
      <w:bookmarkStart w:id="707" w:name="Tc_xXI-zmLE6kuIT0fF0o3A5Q_8_3"/>
      <w:bookmarkStart w:id="708" w:name="Tc_wk-b571IxE29E8pp4lQgxA_8_0"/>
      <w:bookmarkStart w:id="709" w:name="Tc_wKg95uxRfkOMO0gr27xWmw_7_15"/>
      <w:bookmarkStart w:id="710" w:name="Tc_BTDl6Z6MWEicTUE9_Elsqw_7_12"/>
      <w:bookmarkStart w:id="711" w:name="Tc_4h8VWB8l3UOWr2MtX5tt8Q_7_6"/>
      <w:bookmarkStart w:id="712" w:name="Tc_nCqOpYwih0ymlO_W6igBfw_7_3"/>
      <w:bookmarkStart w:id="713" w:name="Tc_EefvOY8xpkaHvB9GcY5bog_7_0"/>
      <w:bookmarkStart w:id="714" w:name="Tc_Ut7Ylx12_EeU3F-9vtTMsg_6_20"/>
      <w:bookmarkStart w:id="715" w:name="Tc_b0r6BuaZKkSnfJam2QckdA_6_17"/>
      <w:bookmarkStart w:id="716" w:name="Tc_ofEpPodzfkOn2x8MFexM2Q_6_14"/>
      <w:bookmarkStart w:id="717" w:name="Tc_NxEh19NjNEaz7jF3mTGtPA_6_11"/>
      <w:bookmarkStart w:id="718" w:name="Tc_D8Lg32oDTUixSw293kNM7g_6_8"/>
      <w:bookmarkStart w:id="719" w:name="Tc_GKnIkFaBzEuklvXSxvJ-4w_6_5"/>
      <w:bookmarkStart w:id="720" w:name="Tc_9rJCXLWRTUSX3yIReLXI5A_6_2"/>
      <w:bookmarkStart w:id="721" w:name="Tc_oNSiEMMzGkmlC8Kxul6cXQ_6_0"/>
      <w:bookmarkStart w:id="722" w:name="Tc_K-hdpKMudEuALTSt9QtqoA_5_20"/>
      <w:bookmarkStart w:id="723" w:name="Tc_mk49MJkMhEuIrPL8yA3_zQ_5_17"/>
      <w:bookmarkStart w:id="724" w:name="Tc_X_FnNRjvRE6XhVKIsgy1rg_5_14"/>
      <w:bookmarkStart w:id="725" w:name="Tc_-h6oo4sDlUW3lbpCU-ERrA_5_11"/>
      <w:bookmarkStart w:id="726" w:name="Tc_VwVHzE1vqEOJiDxU2mi6Ag_5_8"/>
      <w:bookmarkStart w:id="727" w:name="Tc_cedB9FwIM0if0_xYpLet3A_5_5"/>
      <w:bookmarkStart w:id="728" w:name="Tc_az6s5-HBb02fEx74z_06PA_5_2"/>
      <w:bookmarkStart w:id="729" w:name="Tc_9vNtil5oakmgaqaehzL1fg_4_17"/>
      <w:bookmarkStart w:id="730" w:name="Tc_pb83HjhT1EGtofgntFzQQQ_4_14"/>
      <w:bookmarkStart w:id="731" w:name="Tc_p1Slwdtt20WwnwksAF8B6Q_4_11"/>
      <w:bookmarkStart w:id="732" w:name="Tc_I5wmUOwTWEGJuz8Zrq61Hg_4_8"/>
      <w:bookmarkStart w:id="733" w:name="Tc_9x2Kj-WPPkiA82C2OtriPA_4_5"/>
      <w:bookmarkStart w:id="734" w:name="Tc_k6rJbEszSkC90P5Jc1fq8g_4_2"/>
      <w:bookmarkStart w:id="735" w:name="Tc_FbR3snsDJUGt1PD4jIZWIA_3_17"/>
      <w:bookmarkStart w:id="736" w:name="Tc_lCITzv0LKEShYM9NJ7l5yQ_3_11"/>
      <w:bookmarkStart w:id="737" w:name="Tc_WjYoD4FxFU-VfK7lB2CszQ_3_5"/>
      <w:bookmarkStart w:id="738" w:name="Tc_W0JIDvInBkecbZPJfanIEw_2_11"/>
      <w:bookmarkStart w:id="739" w:name="Tc_KVSyT2fTiUqxnJQl2Eqkvw_1_2"/>
      <w:bookmarkStart w:id="740" w:name="_d377d4b8_28be_4dc5_8fb8_aefeb4d1dcd7"/>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tbl>
      <w:tblPr>
        <w:tblW w:w="10205" w:type="dxa"/>
        <w:jc w:val="left"/>
        <w:tblInd w:w="0" w:type="dxa"/>
        <w:tblLayout w:type="fixed"/>
        <w:tblCellMar>
          <w:top w:w="0" w:type="dxa"/>
          <w:left w:w="0" w:type="dxa"/>
          <w:bottom w:w="0" w:type="dxa"/>
          <w:right w:w="0" w:type="dxa"/>
        </w:tblCellMar>
      </w:tblPr>
      <w:tblGrid>
        <w:gridCol w:w="2954"/>
        <w:gridCol w:w="109"/>
        <w:gridCol w:w="298"/>
        <w:gridCol w:w="528"/>
        <w:gridCol w:w="109"/>
        <w:gridCol w:w="258"/>
        <w:gridCol w:w="673"/>
        <w:gridCol w:w="109"/>
        <w:gridCol w:w="220"/>
        <w:gridCol w:w="576"/>
        <w:gridCol w:w="109"/>
        <w:gridCol w:w="317"/>
        <w:gridCol w:w="929"/>
        <w:gridCol w:w="109"/>
        <w:gridCol w:w="234"/>
        <w:gridCol w:w="577"/>
        <w:gridCol w:w="109"/>
        <w:gridCol w:w="258"/>
        <w:gridCol w:w="673"/>
        <w:gridCol w:w="109"/>
        <w:gridCol w:w="196"/>
        <w:gridCol w:w="751"/>
      </w:tblGrid>
      <w:tr>
        <w:trPr/>
        <w:tc>
          <w:tcPr>
            <w:tcW w:w="2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875790" cy="175260"/>
                      <wp:effectExtent l="0" t="0" r="0" b="0"/>
                      <wp:wrapNone/>
                      <wp:docPr id="79" name="Frame79"/>
                      <a:graphic xmlns:a="http://schemas.openxmlformats.org/drawingml/2006/main">
                        <a:graphicData uri="http://schemas.microsoft.com/office/word/2010/wordprocessingShape">
                          <wps:wsp>
                            <wps:cNvSpPr txBox="1"/>
                            <wps:spPr>
                              <a:xfrm>
                                <a:off x="0" y="0"/>
                                <a:ext cx="1875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89230" cy="175260"/>
                      <wp:effectExtent l="0" t="0" r="0" b="0"/>
                      <wp:wrapNone/>
                      <wp:docPr id="81" name="Frame81"/>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35280" cy="175260"/>
                      <wp:effectExtent l="0" t="0" r="0" b="0"/>
                      <wp:wrapNone/>
                      <wp:docPr id="82" name="Frame82"/>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63830" cy="175260"/>
                      <wp:effectExtent l="0" t="0" r="0" b="0"/>
                      <wp:wrapNone/>
                      <wp:docPr id="84" name="Frame8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27355" cy="175260"/>
                      <wp:effectExtent l="0" t="0" r="0" b="0"/>
                      <wp:wrapNone/>
                      <wp:docPr id="85" name="Frame85"/>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9700" cy="175260"/>
                      <wp:effectExtent l="0" t="0" r="0" b="0"/>
                      <wp:wrapNone/>
                      <wp:docPr id="87" name="Frame87"/>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65760" cy="175260"/>
                      <wp:effectExtent l="0" t="0" r="0" b="0"/>
                      <wp:wrapNone/>
                      <wp:docPr id="88" name="Frame88"/>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1295" cy="175260"/>
                      <wp:effectExtent l="0" t="0" r="0" b="0"/>
                      <wp:wrapNone/>
                      <wp:docPr id="90" name="Frame9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89915" cy="175260"/>
                      <wp:effectExtent l="0" t="0" r="0" b="0"/>
                      <wp:wrapNone/>
                      <wp:docPr id="91" name="Frame91"/>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8590" cy="175260"/>
                      <wp:effectExtent l="0" t="0" r="0" b="0"/>
                      <wp:wrapNone/>
                      <wp:docPr id="93" name="Frame9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66395" cy="175260"/>
                      <wp:effectExtent l="0" t="0" r="0" b="0"/>
                      <wp:wrapNone/>
                      <wp:docPr id="94" name="Frame94"/>
                      <a:graphic xmlns:a="http://schemas.openxmlformats.org/drawingml/2006/main">
                        <a:graphicData uri="http://schemas.microsoft.com/office/word/2010/wordprocessingShape">
                          <wps:wsp>
                            <wps:cNvSpPr txBox="1"/>
                            <wps:spPr>
                              <a:xfrm>
                                <a:off x="0" y="0"/>
                                <a:ext cx="366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63830" cy="175260"/>
                      <wp:effectExtent l="0" t="0" r="0" b="0"/>
                      <wp:wrapNone/>
                      <wp:docPr id="96" name="Frame96"/>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27355" cy="175260"/>
                      <wp:effectExtent l="0" t="0" r="0" b="0"/>
                      <wp:wrapNone/>
                      <wp:docPr id="97" name="Frame9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24460" cy="175260"/>
                      <wp:effectExtent l="0" t="0" r="0" b="0"/>
                      <wp:wrapNone/>
                      <wp:docPr id="99" name="Frame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76885" cy="175260"/>
                      <wp:effectExtent l="0" t="0" r="0" b="0"/>
                      <wp:wrapNone/>
                      <wp:docPr id="100" name="Frame10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42" w:type="dxa"/>
            <w:gridSpan w:val="2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 2025 and 2026</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center"/>
              <w:rPr/>
            </w:pPr>
            <w:r>
              <w:rPr/>
              <w:t>​</w:t>
            </w:r>
          </w:p>
        </w:tc>
        <w:tc>
          <w:tcPr>
            <w:tcW w:w="5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58" w:type="dxa"/>
            <w:tcBorders/>
            <w:vAlign w:val="center"/>
          </w:tcPr>
          <w:p>
            <w:pPr>
              <w:pStyle w:val="TableContents"/>
              <w:bidi w:val="0"/>
              <w:spacing w:before="0" w:after="1"/>
              <w:ind w:left="0" w:right="0" w:hanging="0"/>
              <w:jc w:val="center"/>
              <w:rPr/>
            </w:pPr>
            <w:r>
              <w:rPr/>
              <w:t>​</w:t>
            </w:r>
          </w:p>
        </w:tc>
        <w:tc>
          <w:tcPr>
            <w:tcW w:w="6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20" w:type="dxa"/>
            <w:tcBorders/>
            <w:vAlign w:val="center"/>
          </w:tcPr>
          <w:p>
            <w:pPr>
              <w:pStyle w:val="TableContents"/>
              <w:bidi w:val="0"/>
              <w:spacing w:before="0" w:after="1"/>
              <w:ind w:left="0" w:right="0" w:hanging="0"/>
              <w:jc w:val="center"/>
              <w:rPr/>
            </w:pPr>
            <w:r>
              <w:rPr/>
              <w:t>​</w:t>
            </w:r>
          </w:p>
        </w:tc>
        <w:tc>
          <w:tcPr>
            <w:tcW w:w="5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109" w:type="dxa"/>
            <w:tcBorders/>
            <w:vAlign w:val="center"/>
          </w:tcPr>
          <w:p>
            <w:pPr>
              <w:pStyle w:val="TableContents"/>
              <w:bidi w:val="0"/>
              <w:spacing w:before="0" w:after="1"/>
              <w:ind w:left="0" w:right="0" w:hanging="0"/>
              <w:jc w:val="center"/>
              <w:rPr/>
            </w:pPr>
            <w:r>
              <w:rPr/>
              <w:t>​</w:t>
            </w:r>
          </w:p>
        </w:tc>
        <w:tc>
          <w:tcPr>
            <w:tcW w:w="234" w:type="dxa"/>
            <w:tcBorders/>
            <w:vAlign w:val="center"/>
          </w:tcPr>
          <w:p>
            <w:pPr>
              <w:pStyle w:val="TableContents"/>
              <w:bidi w:val="0"/>
              <w:spacing w:before="0" w:after="1"/>
              <w:ind w:left="0" w:right="0" w:hanging="0"/>
              <w:jc w:val="center"/>
              <w:rPr/>
            </w:pPr>
            <w:r>
              <w:rPr/>
              <w:t>​</w:t>
            </w:r>
          </w:p>
        </w:tc>
        <w:tc>
          <w:tcPr>
            <w:tcW w:w="5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58" w:type="dxa"/>
            <w:tcBorders/>
            <w:vAlign w:val="center"/>
          </w:tcPr>
          <w:p>
            <w:pPr>
              <w:pStyle w:val="TableContents"/>
              <w:bidi w:val="0"/>
              <w:spacing w:before="0" w:after="1"/>
              <w:ind w:left="0" w:right="0" w:hanging="0"/>
              <w:jc w:val="center"/>
              <w:rPr/>
            </w:pPr>
            <w:r>
              <w:rPr/>
              <w:t>​</w:t>
            </w:r>
          </w:p>
        </w:tc>
        <w:tc>
          <w:tcPr>
            <w:tcW w:w="6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center"/>
              <w:rPr/>
            </w:pPr>
            <w:r>
              <w:rPr/>
              <w:t>​</w:t>
            </w:r>
          </w:p>
        </w:tc>
        <w:tc>
          <w:tcPr>
            <w:tcW w:w="5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109" w:type="dxa"/>
            <w:tcBorders/>
            <w:vAlign w:val="center"/>
          </w:tcPr>
          <w:p>
            <w:pPr>
              <w:pStyle w:val="TableContents"/>
              <w:bidi w:val="0"/>
              <w:spacing w:before="0" w:after="1"/>
              <w:ind w:left="0" w:right="0" w:hanging="0"/>
              <w:jc w:val="center"/>
              <w:rPr/>
            </w:pPr>
            <w:r>
              <w:rPr/>
              <w:t>​</w:t>
            </w:r>
          </w:p>
        </w:tc>
        <w:tc>
          <w:tcPr>
            <w:tcW w:w="220" w:type="dxa"/>
            <w:tcBorders/>
            <w:vAlign w:val="center"/>
          </w:tcPr>
          <w:p>
            <w:pPr>
              <w:pStyle w:val="TableContents"/>
              <w:bidi w:val="0"/>
              <w:spacing w:before="0" w:after="1"/>
              <w:ind w:left="0" w:right="0" w:hanging="0"/>
              <w:jc w:val="center"/>
              <w:rPr/>
            </w:pPr>
            <w:r>
              <w:rPr/>
              <w:t>​</w:t>
            </w:r>
          </w:p>
        </w:tc>
        <w:tc>
          <w:tcPr>
            <w:tcW w:w="5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109" w:type="dxa"/>
            <w:tcBorders/>
            <w:vAlign w:val="center"/>
          </w:tcPr>
          <w:p>
            <w:pPr>
              <w:pStyle w:val="TableContents"/>
              <w:bidi w:val="0"/>
              <w:spacing w:before="0" w:after="1"/>
              <w:ind w:left="0" w:right="0" w:hanging="0"/>
              <w:jc w:val="center"/>
              <w:rPr/>
            </w:pPr>
            <w:r>
              <w:rPr/>
              <w:t>​</w:t>
            </w:r>
          </w:p>
        </w:tc>
        <w:tc>
          <w:tcPr>
            <w:tcW w:w="234" w:type="dxa"/>
            <w:tcBorders/>
            <w:vAlign w:val="center"/>
          </w:tcPr>
          <w:p>
            <w:pPr>
              <w:pStyle w:val="TableContents"/>
              <w:bidi w:val="0"/>
              <w:spacing w:before="0" w:after="1"/>
              <w:ind w:left="0" w:right="0" w:hanging="0"/>
              <w:jc w:val="center"/>
              <w:rPr/>
            </w:pPr>
            <w:r>
              <w:rPr/>
              <w:t>​</w:t>
            </w:r>
          </w:p>
        </w:tc>
        <w:tc>
          <w:tcPr>
            <w:tcW w:w="5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Non-</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109"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Retained</w:t>
            </w:r>
          </w:p>
        </w:tc>
        <w:tc>
          <w:tcPr>
            <w:tcW w:w="109"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109" w:type="dxa"/>
            <w:tcBorders/>
            <w:vAlign w:val="center"/>
          </w:tcPr>
          <w:p>
            <w:pPr>
              <w:pStyle w:val="TableContents"/>
              <w:bidi w:val="0"/>
              <w:spacing w:before="0" w:after="1"/>
              <w:ind w:left="0" w:right="0" w:hanging="0"/>
              <w:jc w:val="center"/>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Treasury</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controlling</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109" w:type="dxa"/>
            <w:tcBorders/>
            <w:vAlign w:val="center"/>
          </w:tcPr>
          <w:p>
            <w:pPr>
              <w:pStyle w:val="TableContents"/>
              <w:bidi w:val="0"/>
              <w:spacing w:before="0" w:after="1"/>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earnings</w:t>
            </w:r>
          </w:p>
        </w:tc>
        <w:tc>
          <w:tcPr>
            <w:tcW w:w="109" w:type="dxa"/>
            <w:tcBorders/>
            <w:vAlign w:val="center"/>
          </w:tcPr>
          <w:p>
            <w:pPr>
              <w:pStyle w:val="TableContents"/>
              <w:bidi w:val="0"/>
              <w:spacing w:before="0" w:after="1"/>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loss</w:t>
            </w:r>
          </w:p>
        </w:tc>
        <w:tc>
          <w:tcPr>
            <w:tcW w:w="109" w:type="dxa"/>
            <w:tcBorders/>
            <w:vAlign w:val="center"/>
          </w:tcPr>
          <w:p>
            <w:pPr>
              <w:pStyle w:val="TableContents"/>
              <w:bidi w:val="0"/>
              <w:spacing w:before="0" w:after="1"/>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interest</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at December 31, 2024</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669.9</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574.7</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(159.2)</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1,379.1</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5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5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net</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5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5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Dividends paid to noncontrolling interest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5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5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 $.16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5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5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Equity transactions with noncontrolling </w:t>
              <w:br/>
              <w:t>  interest, net and other</w:t>
            </w:r>
          </w:p>
        </w:tc>
        <w:tc>
          <w:tcPr>
            <w:tcW w:w="109" w:type="dxa"/>
            <w:tcBorders/>
            <w:vAlign w:val="center"/>
          </w:tcPr>
          <w:p>
            <w:pPr>
              <w:pStyle w:val="TableContents"/>
              <w:bidi w:val="0"/>
              <w:spacing w:before="0" w:after="1"/>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295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5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57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at June 30, 2025</w:t>
            </w:r>
          </w:p>
        </w:tc>
        <w:tc>
          <w:tcPr>
            <w:tcW w:w="109" w:type="dxa"/>
            <w:tcBorders/>
            <w:vAlign w:val="center"/>
          </w:tcPr>
          <w:p>
            <w:pPr>
              <w:pStyle w:val="TableContents"/>
              <w:bidi w:val="0"/>
              <w:spacing w:before="0" w:after="1"/>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670.3</w:t>
            </w:r>
          </w:p>
        </w:tc>
        <w:tc>
          <w:tcPr>
            <w:tcW w:w="109"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588.0</w:t>
            </w:r>
          </w:p>
        </w:tc>
        <w:tc>
          <w:tcPr>
            <w:tcW w:w="109" w:type="dxa"/>
            <w:tcBorders/>
            <w:vAlign w:val="center"/>
          </w:tcPr>
          <w:p>
            <w:pPr>
              <w:pStyle w:val="TableContents"/>
              <w:bidi w:val="0"/>
              <w:spacing w:before="0" w:after="1"/>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(137.5)</w:t>
            </w:r>
          </w:p>
        </w:tc>
        <w:tc>
          <w:tcPr>
            <w:tcW w:w="109"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1,430.0</w:t>
            </w:r>
          </w:p>
        </w:tc>
      </w:tr>
      <w:tr>
        <w:trPr/>
        <w:tc>
          <w:tcPr>
            <w:tcW w:w="295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5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57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at December 31, 2025</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670.3</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508.0</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(105.8)</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1,363.7</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5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24.3</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5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19.0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43.3</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net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5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5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Dividends paid to noncontrolling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5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5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(4.8)</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 $.16 per share</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57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5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Equity transactions with noncontrolling </w:t>
              <w:br/>
              <w:t>  interest, net and other</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5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5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at June 30, 2026</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671.2</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527.8</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(105.5)</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(49.6)</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355.1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1,399.3</w:t>
            </w:r>
          </w:p>
        </w:tc>
      </w:tr>
    </w:tbl>
    <w:p>
      <w:pPr>
        <w:pStyle w:val="TextBody"/>
        <w:bidi w:val="0"/>
        <w:spacing w:before="24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firstLine="720"/>
        <w:jc w:val="center"/>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02">
                <wp:simplePos x="0" y="0"/>
                <wp:positionH relativeFrom="page">
                  <wp:posOffset>0</wp:posOffset>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center"/>
        <w:rPr>
          <w:rFonts w:ascii="Times New Roman;Times;serif" w:hAnsi="Times New Roman;Times;serif"/>
          <w:b/>
          <w:sz w:val="20"/>
        </w:rPr>
      </w:pPr>
      <w:bookmarkStart w:id="741" w:name="_b99f54f6_debd_43fd_8f6b_9663747dc2d1"/>
      <w:bookmarkEnd w:id="741"/>
      <w:r>
        <w:rPr>
          <w:rFonts w:ascii="Times New Roman;Times;serif" w:hAnsi="Times New Roman;Times;serif"/>
          <w:b/>
          <w:sz w:val="20"/>
        </w:rPr>
        <w:t>VALHI, INC. AND SUBSIDIARIES</w:t>
      </w:r>
    </w:p>
    <w:p>
      <w:pPr>
        <w:pStyle w:val="TextBody"/>
        <w:bidi w:val="0"/>
        <w:spacing w:before="0" w:after="60"/>
        <w:ind w:left="0" w:right="0" w:hanging="0"/>
        <w:jc w:val="center"/>
        <w:rPr>
          <w:rFonts w:ascii="Times New Roman;Times;serif" w:hAnsi="Times New Roman;Times;serif"/>
          <w:b/>
          <w:sz w:val="20"/>
        </w:rPr>
      </w:pPr>
      <w:bookmarkStart w:id="742" w:name="CONDENSEDCONSOLIDATEDCASHFLOWS"/>
      <w:bookmarkEnd w:id="742"/>
      <w:r>
        <w:rPr>
          <w:rFonts w:ascii="Times New Roman;Times;serif" w:hAnsi="Times New Roman;Times;serif"/>
          <w:b/>
          <w:sz w:val="20"/>
        </w:rPr>
        <w:t>CONDENSED CONSOLIDATED STATEMENTS OF CASH FLOWS</w:t>
      </w:r>
    </w:p>
    <w:p>
      <w:pPr>
        <w:pStyle w:val="TextBody"/>
        <w:bidi w:val="0"/>
        <w:spacing w:lineRule="auto" w:line="199"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199"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Normal"/>
        <w:bidi w:val="0"/>
        <w:spacing w:before="0" w:after="0"/>
        <w:jc w:val="left"/>
        <w:rPr>
          <w:sz w:val="4"/>
          <w:szCs w:val="4"/>
        </w:rPr>
      </w:pPr>
      <w:r>
        <w:rPr>
          <w:sz w:val="4"/>
          <w:szCs w:val="4"/>
        </w:rPr>
      </w:r>
      <w:bookmarkStart w:id="743" w:name="Tc_9cg3x83UEE6JzRfKkJl2KQ_50_0"/>
      <w:bookmarkStart w:id="744" w:name="Tc_i9HtrwEMFUqQy6Re04DeEA_49_0"/>
      <w:bookmarkStart w:id="745" w:name="Tc_55jtnaGSGEmUK75kynJbTw_48_0"/>
      <w:bookmarkStart w:id="746" w:name="Tc_k6orydOHwUeBluDbjEEu8g_47_5"/>
      <w:bookmarkStart w:id="747" w:name="Tc_46kilZXk1Eys9csDJ3rwBA_47_2"/>
      <w:bookmarkStart w:id="748" w:name="Tc_zBq0bxf8nUivN9W8kwC5bA_47_0"/>
      <w:bookmarkStart w:id="749" w:name="Tc_60wsaxly50GwtdNM0t-NPQ_46_0"/>
      <w:bookmarkStart w:id="750" w:name="Tc__99w5jSjQEeqlSnmhNiTsQ_45_0"/>
      <w:bookmarkStart w:id="751" w:name="Tc_dNiX9nPmkEGQM6X6jIabJA_43_5"/>
      <w:bookmarkStart w:id="752" w:name="Tc_Kuej3vlGBU6TWy__VUHvQw_43_2"/>
      <w:bookmarkStart w:id="753" w:name="Tc_CmQcVTYe0kaStK6ezazg7Q_43_0"/>
      <w:bookmarkStart w:id="754" w:name="Tc_iu5suxUn80aRTumRDqCVdw_42_0"/>
      <w:bookmarkStart w:id="755" w:name="Tc_FOj_Zj6gtkGfKkNdbjCcTg_41_0"/>
      <w:bookmarkStart w:id="756" w:name="Tc_jn-1iOUfJUC18UKPv3uCmA_40_0"/>
      <w:bookmarkStart w:id="757" w:name="Tc_ui33Hm5s6US87k94tdKe3A_39_0"/>
      <w:bookmarkStart w:id="758" w:name="Tc_8U5puoi9J0udNIhS6HapwA_37_0"/>
      <w:bookmarkStart w:id="759" w:name="Tc_9qJKkvGlsE6eM7E4Yxw2xA_36_0"/>
      <w:bookmarkStart w:id="760" w:name="Tc_KalCq1Hl-EKvdFJLNh0l2w_35_0"/>
      <w:bookmarkStart w:id="761" w:name="Tc_LYt9Gu5qT06TF2JpuUtk6A_34_0"/>
      <w:bookmarkStart w:id="762" w:name="Tc_HUydrCW3DU-tTGRUuEUCyQ_33_0"/>
      <w:bookmarkStart w:id="763" w:name="Tc_e-lFPGVwTkq2MxbELELTdg_32_0"/>
      <w:bookmarkStart w:id="764" w:name="Tc_rpSwDQuuVUCjPdndQFB3EA_31_0"/>
      <w:bookmarkStart w:id="765" w:name="Tc_iqeJ3SLjgUmP-x4ZCRjyOg_30_0"/>
      <w:bookmarkStart w:id="766" w:name="Tc_P82psB_NfEqQeoRiQle8uQ_28_0"/>
      <w:bookmarkStart w:id="767" w:name="Tc_tBMO-WQ4F0a9eJTZdSFBEg_27_3"/>
      <w:bookmarkStart w:id="768" w:name="Tc_EFXXXHwt0k6Z76KF5Tfw_Q_27_0"/>
      <w:bookmarkStart w:id="769" w:name="Tc_wQ17o6MvlkKrpYsNotMqlw_26_0"/>
      <w:bookmarkStart w:id="770" w:name="Tc_Jy4D2jfxo0iFRfFRNiOLXQ_25_3"/>
      <w:bookmarkStart w:id="771" w:name="Tc_LI-KUoU14UKK32lfa6xzKA_25_0"/>
      <w:bookmarkStart w:id="772" w:name="Tc_y3uExLvjFEucx-Q-y0b5ow_24_0"/>
      <w:bookmarkStart w:id="773" w:name="Tc_oisVrZbSw0KIgUUFRzxIyQ_23_0"/>
      <w:bookmarkStart w:id="774" w:name="Tc_yZNamgyTCkC6jzj2AYQ3gA_21_0"/>
      <w:bookmarkStart w:id="775" w:name="Tc_9VSzbaaW6UO1z25oP_oPjA_20_0"/>
      <w:bookmarkStart w:id="776" w:name="Tc_yC-OnjzKlU69BMPVkYmk3A_19_0"/>
      <w:bookmarkStart w:id="777" w:name="Tc_YrB7JEqjBkakeJ7AsqnYeA_18_0"/>
      <w:bookmarkStart w:id="778" w:name="Tc_y1BtzOAGZkSE3AbiZdNJ3g_17_0"/>
      <w:bookmarkStart w:id="779" w:name="Tc_4F_ewEdqj0uDtgaVsGo7Aw_16_0"/>
      <w:bookmarkStart w:id="780" w:name="Tc_0u-EF1Bbz0ihLBH6LgK38A_15_0"/>
      <w:bookmarkStart w:id="781" w:name="Tc_V8v88rfkPEG-gwpH9y0PPQ_14_0"/>
      <w:bookmarkStart w:id="782" w:name="Tc_uHVnmnKnsU6JLN9eYxzIkg_13_0"/>
      <w:bookmarkStart w:id="783" w:name="Tc_nvM8AnQP3EqxL7I6KqN6yQ_12_0"/>
      <w:bookmarkStart w:id="784" w:name="Tc_UME0v3TIqkyfgGoZzu6CIg_11_0"/>
      <w:bookmarkStart w:id="785" w:name="Tc_Mpoi4IvyhkOiv4xyC5nCUw_10_3"/>
      <w:bookmarkStart w:id="786" w:name="Tc_nWyjMtcEskCCvrVr49QCjw_10_0"/>
      <w:bookmarkStart w:id="787" w:name="Tc_WfETy3vDm0aivMDxyfNBGw_9_0"/>
      <w:bookmarkStart w:id="788" w:name="Tc_cvsVT3kK6E6_XknO3laZog_8_0"/>
      <w:bookmarkStart w:id="789" w:name="Tc_C7kkXTRGlkGTzuEumsopZQ_7_0"/>
      <w:bookmarkStart w:id="790" w:name="Tc_6P7DM_WR1kiPlVpNothdKQ_6_0"/>
      <w:bookmarkStart w:id="791" w:name="Tc_UoctBKGlo0CXJnm5kS7Q0w_5_5"/>
      <w:bookmarkStart w:id="792" w:name="Tc_BH4LGuiNJUKV4WAHyZsrag_5_2"/>
      <w:bookmarkStart w:id="793" w:name="Tc_vMDFk2SF20O6ULwsC3Krmg_5_0"/>
      <w:bookmarkStart w:id="794" w:name="Tc_MjwxBaB0AEWIbB3zcXb2RQ_4_0"/>
      <w:bookmarkStart w:id="795" w:name="Tc_is0euGVmxE-YRSh3WuNowg_3_5"/>
      <w:bookmarkStart w:id="796" w:name="Tc_cNaS0fwfDE6ksKsFVfXobg_3_2"/>
      <w:bookmarkStart w:id="797" w:name="Tc_L9EFccEgN0ygdkcOHIwX6g_2_2"/>
      <w:bookmarkStart w:id="798" w:name="Tc_xdWuUXtB_E6cxDG5-0De8g_1_2"/>
      <w:bookmarkStart w:id="799" w:name="_85641611_35fc_46b7_a10f_928061d1cf4f"/>
      <w:bookmarkStart w:id="800" w:name="Tc_9cg3x83UEE6JzRfKkJl2KQ_50_0"/>
      <w:bookmarkStart w:id="801" w:name="Tc_i9HtrwEMFUqQy6Re04DeEA_49_0"/>
      <w:bookmarkStart w:id="802" w:name="Tc_55jtnaGSGEmUK75kynJbTw_48_0"/>
      <w:bookmarkStart w:id="803" w:name="Tc_k6orydOHwUeBluDbjEEu8g_47_5"/>
      <w:bookmarkStart w:id="804" w:name="Tc_46kilZXk1Eys9csDJ3rwBA_47_2"/>
      <w:bookmarkStart w:id="805" w:name="Tc_zBq0bxf8nUivN9W8kwC5bA_47_0"/>
      <w:bookmarkStart w:id="806" w:name="Tc_60wsaxly50GwtdNM0t-NPQ_46_0"/>
      <w:bookmarkStart w:id="807" w:name="Tc__99w5jSjQEeqlSnmhNiTsQ_45_0"/>
      <w:bookmarkStart w:id="808" w:name="Tc_dNiX9nPmkEGQM6X6jIabJA_43_5"/>
      <w:bookmarkStart w:id="809" w:name="Tc_Kuej3vlGBU6TWy__VUHvQw_43_2"/>
      <w:bookmarkStart w:id="810" w:name="Tc_CmQcVTYe0kaStK6ezazg7Q_43_0"/>
      <w:bookmarkStart w:id="811" w:name="Tc_iu5suxUn80aRTumRDqCVdw_42_0"/>
      <w:bookmarkStart w:id="812" w:name="Tc_FOj_Zj6gtkGfKkNdbjCcTg_41_0"/>
      <w:bookmarkStart w:id="813" w:name="Tc_jn-1iOUfJUC18UKPv3uCmA_40_0"/>
      <w:bookmarkStart w:id="814" w:name="Tc_ui33Hm5s6US87k94tdKe3A_39_0"/>
      <w:bookmarkStart w:id="815" w:name="Tc_8U5puoi9J0udNIhS6HapwA_37_0"/>
      <w:bookmarkStart w:id="816" w:name="Tc_9qJKkvGlsE6eM7E4Yxw2xA_36_0"/>
      <w:bookmarkStart w:id="817" w:name="Tc_KalCq1Hl-EKvdFJLNh0l2w_35_0"/>
      <w:bookmarkStart w:id="818" w:name="Tc_LYt9Gu5qT06TF2JpuUtk6A_34_0"/>
      <w:bookmarkStart w:id="819" w:name="Tc_HUydrCW3DU-tTGRUuEUCyQ_33_0"/>
      <w:bookmarkStart w:id="820" w:name="Tc_e-lFPGVwTkq2MxbELELTdg_32_0"/>
      <w:bookmarkStart w:id="821" w:name="Tc_rpSwDQuuVUCjPdndQFB3EA_31_0"/>
      <w:bookmarkStart w:id="822" w:name="Tc_iqeJ3SLjgUmP-x4ZCRjyOg_30_0"/>
      <w:bookmarkStart w:id="823" w:name="Tc_P82psB_NfEqQeoRiQle8uQ_28_0"/>
      <w:bookmarkStart w:id="824" w:name="Tc_tBMO-WQ4F0a9eJTZdSFBEg_27_3"/>
      <w:bookmarkStart w:id="825" w:name="Tc_EFXXXHwt0k6Z76KF5Tfw_Q_27_0"/>
      <w:bookmarkStart w:id="826" w:name="Tc_wQ17o6MvlkKrpYsNotMqlw_26_0"/>
      <w:bookmarkStart w:id="827" w:name="Tc_Jy4D2jfxo0iFRfFRNiOLXQ_25_3"/>
      <w:bookmarkStart w:id="828" w:name="Tc_LI-KUoU14UKK32lfa6xzKA_25_0"/>
      <w:bookmarkStart w:id="829" w:name="Tc_y3uExLvjFEucx-Q-y0b5ow_24_0"/>
      <w:bookmarkStart w:id="830" w:name="Tc_oisVrZbSw0KIgUUFRzxIyQ_23_0"/>
      <w:bookmarkStart w:id="831" w:name="Tc_yZNamgyTCkC6jzj2AYQ3gA_21_0"/>
      <w:bookmarkStart w:id="832" w:name="Tc_9VSzbaaW6UO1z25oP_oPjA_20_0"/>
      <w:bookmarkStart w:id="833" w:name="Tc_yC-OnjzKlU69BMPVkYmk3A_19_0"/>
      <w:bookmarkStart w:id="834" w:name="Tc_YrB7JEqjBkakeJ7AsqnYeA_18_0"/>
      <w:bookmarkStart w:id="835" w:name="Tc_y1BtzOAGZkSE3AbiZdNJ3g_17_0"/>
      <w:bookmarkStart w:id="836" w:name="Tc_4F_ewEdqj0uDtgaVsGo7Aw_16_0"/>
      <w:bookmarkStart w:id="837" w:name="Tc_0u-EF1Bbz0ihLBH6LgK38A_15_0"/>
      <w:bookmarkStart w:id="838" w:name="Tc_V8v88rfkPEG-gwpH9y0PPQ_14_0"/>
      <w:bookmarkStart w:id="839" w:name="Tc_uHVnmnKnsU6JLN9eYxzIkg_13_0"/>
      <w:bookmarkStart w:id="840" w:name="Tc_nvM8AnQP3EqxL7I6KqN6yQ_12_0"/>
      <w:bookmarkStart w:id="841" w:name="Tc_UME0v3TIqkyfgGoZzu6CIg_11_0"/>
      <w:bookmarkStart w:id="842" w:name="Tc_Mpoi4IvyhkOiv4xyC5nCUw_10_3"/>
      <w:bookmarkStart w:id="843" w:name="Tc_nWyjMtcEskCCvrVr49QCjw_10_0"/>
      <w:bookmarkStart w:id="844" w:name="Tc_WfETy3vDm0aivMDxyfNBGw_9_0"/>
      <w:bookmarkStart w:id="845" w:name="Tc_cvsVT3kK6E6_XknO3laZog_8_0"/>
      <w:bookmarkStart w:id="846" w:name="Tc_C7kkXTRGlkGTzuEumsopZQ_7_0"/>
      <w:bookmarkStart w:id="847" w:name="Tc_6P7DM_WR1kiPlVpNothdKQ_6_0"/>
      <w:bookmarkStart w:id="848" w:name="Tc_UoctBKGlo0CXJnm5kS7Q0w_5_5"/>
      <w:bookmarkStart w:id="849" w:name="Tc_BH4LGuiNJUKV4WAHyZsrag_5_2"/>
      <w:bookmarkStart w:id="850" w:name="Tc_vMDFk2SF20O6ULwsC3Krmg_5_0"/>
      <w:bookmarkStart w:id="851" w:name="Tc_MjwxBaB0AEWIbB3zcXb2RQ_4_0"/>
      <w:bookmarkStart w:id="852" w:name="Tc_is0euGVmxE-YRSh3WuNowg_3_5"/>
      <w:bookmarkStart w:id="853" w:name="Tc_cNaS0fwfDE6ksKsFVfXobg_3_2"/>
      <w:bookmarkStart w:id="854" w:name="Tc_L9EFccEgN0ygdkcOHIwX6g_2_2"/>
      <w:bookmarkStart w:id="855" w:name="Tc_xdWuUXtB_E6cxDG5-0De8g_1_2"/>
      <w:bookmarkStart w:id="856" w:name="_85641611_35fc_46b7_a10f_928061d1cf4f"/>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tbl>
      <w:tblPr>
        <w:tblW w:w="9307" w:type="dxa"/>
        <w:jc w:val="left"/>
        <w:tblInd w:w="0" w:type="dxa"/>
        <w:tblLayout w:type="fixed"/>
        <w:tblCellMar>
          <w:top w:w="0" w:type="dxa"/>
          <w:left w:w="0" w:type="dxa"/>
          <w:bottom w:w="0" w:type="dxa"/>
          <w:right w:w="0" w:type="dxa"/>
        </w:tblCellMar>
      </w:tblPr>
      <w:tblGrid>
        <w:gridCol w:w="6766"/>
        <w:gridCol w:w="346"/>
        <w:gridCol w:w="211"/>
        <w:gridCol w:w="691"/>
        <w:gridCol w:w="346"/>
        <w:gridCol w:w="211"/>
        <w:gridCol w:w="736"/>
      </w:tblGrid>
      <w:tr>
        <w:trPr/>
        <w:tc>
          <w:tcPr>
            <w:tcW w:w="6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296410" cy="175260"/>
                      <wp:effectExtent l="0" t="0" r="0" b="0"/>
                      <wp:wrapNone/>
                      <wp:docPr id="102" name="Frame102"/>
                      <a:graphic xmlns:a="http://schemas.openxmlformats.org/drawingml/2006/main">
                        <a:graphicData uri="http://schemas.microsoft.com/office/word/2010/wordprocessingShape">
                          <wps:wsp>
                            <wps:cNvSpPr txBox="1"/>
                            <wps:spPr>
                              <a:xfrm>
                                <a:off x="0" y="0"/>
                                <a:ext cx="429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38785" cy="175260"/>
                      <wp:effectExtent l="0" t="0" r="0" b="0"/>
                      <wp:wrapNone/>
                      <wp:docPr id="105" name="Frame10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67360" cy="175260"/>
                      <wp:effectExtent l="0" t="0" r="0" b="0"/>
                      <wp:wrapNone/>
                      <wp:docPr id="108" name="Frame10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6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6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43.3</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Depreciation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34.0</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operating lease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plan expense less than cash funding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building 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(120.9)</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119.1</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held for development,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(79.8)</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environmental remediation and related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with affiliates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w:t>
            </w:r>
          </w:p>
        </w:tc>
      </w:tr>
      <w:tr>
        <w:trPr/>
        <w:tc>
          <w:tcPr>
            <w:tcW w:w="6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  ​</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disposal of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Proceeds from building sale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w:t>
            </w:r>
          </w:p>
        </w:tc>
      </w:tr>
      <w:tr>
        <w:trPr/>
        <w:tc>
          <w:tcPr>
            <w:tcW w:w="6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Kronos revolving credit facility: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283.7</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(255.3)</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Valhi cash dividends paid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noncontrolling interest in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w:t>
            </w:r>
          </w:p>
        </w:tc>
      </w:tr>
      <w:tr>
        <w:trPr/>
        <w:tc>
          <w:tcPr>
            <w:tcW w:w="6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and cash equivalents - net change from: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rates on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228.7</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222.3</w:t>
            </w:r>
          </w:p>
        </w:tc>
      </w:tr>
      <w:tr>
        <w:trPr/>
        <w:tc>
          <w:tcPr>
            <w:tcW w:w="6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net of amounts capitalized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29.6</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accruals for 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w:t>
            </w:r>
          </w:p>
        </w:tc>
      </w:tr>
    </w:tbl>
    <w:p>
      <w:pPr>
        <w:pStyle w:val="TextBody"/>
        <w:bidi w:val="0"/>
        <w:spacing w:lineRule="auto" w:line="228"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lineRule="auto" w:line="199" w:before="0" w:after="6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lineRule="auto" w:line="199"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10">
                <wp:simplePos x="0" y="0"/>
                <wp:positionH relativeFrom="page">
                  <wp:posOffset>0</wp:posOffset>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120"/>
        <w:ind w:left="0" w:right="0" w:hanging="0"/>
        <w:jc w:val="center"/>
        <w:rPr>
          <w:rFonts w:ascii="Times New Roman;Times;serif" w:hAnsi="Times New Roman;Times;serif"/>
          <w:b/>
          <w:sz w:val="20"/>
        </w:rPr>
      </w:pPr>
      <w:bookmarkStart w:id="857" w:name="_b1c4124f_8103_4ea7_9632_f424ddbd2046"/>
      <w:bookmarkEnd w:id="857"/>
      <w:r>
        <w:rPr>
          <w:rFonts w:ascii="Times New Roman;Times;serif" w:hAnsi="Times New Roman;Times;serif"/>
          <w:b/>
          <w:sz w:val="20"/>
        </w:rPr>
        <w:t>VALHI, INC. AND SUBSIDIARIES</w:t>
      </w:r>
    </w:p>
    <w:p>
      <w:pPr>
        <w:pStyle w:val="TextBody"/>
        <w:bidi w:val="0"/>
        <w:spacing w:before="0" w:after="120"/>
        <w:ind w:left="0" w:right="0" w:hanging="0"/>
        <w:jc w:val="center"/>
        <w:rPr>
          <w:rFonts w:ascii="Times New Roman;Times;serif" w:hAnsi="Times New Roman;Times;serif"/>
          <w:b/>
          <w:sz w:val="20"/>
        </w:rPr>
      </w:pPr>
      <w:bookmarkStart w:id="858" w:name="NOTESTOCONDENSEDCONSOLIDATEDFINSTMTS"/>
      <w:bookmarkEnd w:id="858"/>
      <w:r>
        <w:rPr>
          <w:rFonts w:ascii="Times New Roman;Times;serif" w:hAnsi="Times New Roman;Times;serif"/>
          <w:b/>
          <w:sz w:val="20"/>
        </w:rPr>
        <w:t>NOTES TO CONDENSED CONSOLIDATED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June 30,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Organization and 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Organization </w:t>
      </w:r>
      <w:r>
        <w:rPr>
          <w:rFonts w:ascii="Times New Roman;Times;serif" w:hAnsi="Times New Roman;Times;serif"/>
          <w:sz w:val="20"/>
        </w:rPr>
        <w:t>– We are majority owned by a wholly-owned subsidiary of Contran Corporation (“Contran”), which owns approximately 91% of our outstanding common stock at June 30, 2026.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June 30, 2026, Ms. Simmons and the Family Trust may be deemed to control Contran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Basis of Presentation – </w:t>
      </w:r>
      <w:r>
        <w:rPr>
          <w:rFonts w:ascii="Times New Roman;Times;serif" w:hAnsi="Times New Roman;Times;serif"/>
          <w:sz w:val="20"/>
        </w:rPr>
        <w:t>Consolidated in this Quarterly Report are the results of our wholly-owned and majority-owned subsidiaries, including NLI Holdings, Inc. (“NLI”) (formerly NL Industries, Inc.), Kronos Worldwide, Inc., CompX International Inc., Tremont LLC, Basic Management, Inc. (“BMI”) and The LandWell Company (“LandWell”). Kronos (NYSE: KRO), NLI Holdings, Inc. (NYSE: NL) and CompX (NYSE American: CIX) each file periodic reports with the Securities and Exchange Commission (“SEC”).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unaudited Condensed Consolidated Financial Statements contained in this Quarterly Report have been prepared on the same basis as the audited Consolidated Financial Statements included in our Annual Report on Form 10-K for the year ended December 31, 2025 that we filed with the SEC on March 10, 2026 (the “2025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2025 contained in this Quarterly Report as compared to our audited Consolidated Financial Statements at that date, and we have omitted certain information and footnote disclosures (including those related to the Consolidated Balance Sheet at December 31, 2025) normally included in financial statements prepared in accordance with accounting principles generally accepted in the United States of America (“GAAP”). Our results of operations for the interim periods ended June 30, 2026 may not be indicative of our operating results for the full year. The Condensed Consolidated Financial Statements contained in this Quarterly Report should be read in conjunction with our 2025 Consolidated Financial Statements contained in our 2025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otherwise indicated, references in this report to “we,” “us” or “our” refer to Valhi, Inc. and its subsidiaries (NYSE: VHI), taken as a whole.  </w:t>
      </w:r>
    </w:p>
    <w:p>
      <w:pPr>
        <w:pStyle w:val="TextBody"/>
        <w:bidi w:val="0"/>
        <w:spacing w:before="0" w:after="240"/>
        <w:ind w:left="0" w:right="0" w:hanging="0"/>
        <w:jc w:val="left"/>
        <w:rPr>
          <w:rFonts w:ascii="Times New Roman;Times;serif" w:hAnsi="Times New Roman;Times;serif"/>
          <w:b/>
          <w:sz w:val="20"/>
        </w:rPr>
      </w:pPr>
      <w:bookmarkStart w:id="859" w:name="Tc_vjornLl6mEWPZ0iwbsrtRg_5_4"/>
      <w:bookmarkStart w:id="860" w:name="Tc_3HIIgPyEmUOQkjmy9z262A_5_2"/>
      <w:bookmarkStart w:id="861" w:name="Tc_bcKxjGIRoUS7ruS9OhYCcw_5_0"/>
      <w:bookmarkStart w:id="862" w:name="Tc_ZvQJe4s2JkW7JzFVn27SAA_4_2"/>
      <w:bookmarkStart w:id="863" w:name="Tc_CAMYN58soUmykF_yczOk1w_4_0"/>
      <w:bookmarkStart w:id="864" w:name="Tc_LX3Kgvose0eyRDMFbnL5mg_3_2"/>
      <w:bookmarkStart w:id="865" w:name="Tc_l3abi4gLkkKT3lEqmzUZ5g_3_0"/>
      <w:bookmarkStart w:id="866" w:name="Tc_uOSc3tiuK0m8wlvy0-3XjQ_2_4"/>
      <w:bookmarkStart w:id="867" w:name="Tc_uLywhGXgWEGD6tFrQSQFLQ_2_2"/>
      <w:bookmarkStart w:id="868" w:name="Tc_rSk7yVbuQ02WOw4QROJSEA_2_0"/>
      <w:bookmarkStart w:id="869" w:name="Tc_EVwg6Q0qA0G1G-oRHzsQKw_1_4"/>
      <w:bookmarkEnd w:id="859"/>
      <w:bookmarkEnd w:id="860"/>
      <w:bookmarkEnd w:id="861"/>
      <w:bookmarkEnd w:id="862"/>
      <w:bookmarkEnd w:id="863"/>
      <w:bookmarkEnd w:id="864"/>
      <w:bookmarkEnd w:id="865"/>
      <w:bookmarkEnd w:id="866"/>
      <w:bookmarkEnd w:id="867"/>
      <w:bookmarkEnd w:id="868"/>
      <w:bookmarkEnd w:id="869"/>
      <w:r>
        <w:rPr>
          <w:rFonts w:ascii="Times New Roman;Times;serif" w:hAnsi="Times New Roman;Times;serif"/>
          <w:b/>
          <w:sz w:val="20"/>
        </w:rPr>
        <w:t>Note 2 – Business segment information:</w:t>
      </w:r>
    </w:p>
    <w:p>
      <w:pPr>
        <w:pStyle w:val="TextBody"/>
        <w:bidi w:val="0"/>
        <w:spacing w:before="0" w:after="0"/>
        <w:ind w:left="0" w:right="0" w:hanging="0"/>
        <w:jc w:val="left"/>
        <w:rPr/>
      </w:pPr>
      <w:r>
        <w:rPr/>
        <w:t>​</w:t>
      </w:r>
    </w:p>
    <w:tbl>
      <w:tblPr>
        <w:tblW w:w="7531" w:type="dxa"/>
        <w:jc w:val="left"/>
        <w:tblInd w:w="0" w:type="dxa"/>
        <w:tblLayout w:type="fixed"/>
        <w:tblCellMar>
          <w:top w:w="0" w:type="dxa"/>
          <w:left w:w="0" w:type="dxa"/>
          <w:bottom w:w="0" w:type="dxa"/>
          <w:right w:w="0" w:type="dxa"/>
        </w:tblCellMar>
      </w:tblPr>
      <w:tblGrid>
        <w:gridCol w:w="3541"/>
        <w:gridCol w:w="346"/>
        <w:gridCol w:w="1681"/>
        <w:gridCol w:w="346"/>
        <w:gridCol w:w="1426"/>
        <w:gridCol w:w="191"/>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248535" cy="175260"/>
                      <wp:effectExtent l="0" t="0" r="0" b="0"/>
                      <wp:wrapNone/>
                      <wp:docPr id="110" name="Frame110"/>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067435" cy="175260"/>
                      <wp:effectExtent l="0" t="0" r="0" b="0"/>
                      <wp:wrapNone/>
                      <wp:docPr id="112" name="Frame112"/>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905510" cy="175260"/>
                      <wp:effectExtent l="0" t="0" r="0" b="0"/>
                      <wp:wrapNone/>
                      <wp:docPr id="114" name="Frame114"/>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21285" cy="175260"/>
                      <wp:effectExtent l="0" t="0" r="0" b="0"/>
                      <wp:wrapNone/>
                      <wp:docPr id="115" name="Frame11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6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controlled at</w:t>
            </w:r>
          </w:p>
        </w:tc>
        <w:tc>
          <w:tcPr>
            <w:tcW w:w="191" w:type="dxa"/>
            <w:tcBorders/>
            <w:vAlign w:val="center"/>
          </w:tcPr>
          <w:p>
            <w:pPr>
              <w:pStyle w:val="TableContents"/>
              <w:bidi w:val="0"/>
              <w:spacing w:before="0" w:after="1"/>
              <w:ind w:left="0" w:right="0" w:hanging="0"/>
              <w:jc w:val="center"/>
              <w:rPr/>
            </w:pPr>
            <w:r>
              <w:rPr/>
              <w:t> </w:t>
            </w:r>
          </w:p>
        </w:tc>
      </w:tr>
      <w:tr>
        <w:trPr/>
        <w:tc>
          <w:tcPr>
            <w:tcW w:w="35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Business segment</w:t>
            </w:r>
          </w:p>
        </w:tc>
        <w:tc>
          <w:tcPr>
            <w:tcW w:w="346" w:type="dxa"/>
            <w:tcBorders/>
            <w:vAlign w:val="center"/>
          </w:tcPr>
          <w:p>
            <w:pPr>
              <w:pStyle w:val="TableContents"/>
              <w:bidi w:val="0"/>
              <w:spacing w:before="0" w:after="1"/>
              <w:ind w:left="0" w:right="0" w:hanging="0"/>
              <w:jc w:val="center"/>
              <w:rPr/>
            </w:pPr>
            <w:r>
              <w:rPr/>
              <w:t>​</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Entity</w:t>
            </w:r>
          </w:p>
        </w:tc>
        <w:tc>
          <w:tcPr>
            <w:tcW w:w="346" w:type="dxa"/>
            <w:tcBorders/>
            <w:vAlign w:val="center"/>
          </w:tcPr>
          <w:p>
            <w:pPr>
              <w:pStyle w:val="TableContents"/>
              <w:bidi w:val="0"/>
              <w:spacing w:before="0" w:after="1"/>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9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shd w:fill="CCEEFF" w:val="clear"/>
            <w:vAlign w:val="center"/>
          </w:tcPr>
          <w:p>
            <w:pPr>
              <w:pStyle w:val="TableContents"/>
              <w:bidi w:val="0"/>
              <w:spacing w:before="0" w:after="1"/>
              <w:ind w:left="0" w:right="0" w:hanging="0"/>
              <w:jc w:val="left"/>
              <w:rPr/>
            </w:pPr>
            <w:r>
              <w:rPr/>
              <w:t> </w:t>
            </w:r>
          </w:p>
        </w:tc>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w:t>
            </w:r>
          </w:p>
        </w:tc>
        <w:tc>
          <w:tcPr>
            <w:tcW w:w="346" w:type="dxa"/>
            <w:tcBorders/>
            <w:shd w:fill="CCEEFF" w:val="clear"/>
            <w:vAlign w:val="center"/>
          </w:tcPr>
          <w:p>
            <w:pPr>
              <w:pStyle w:val="TableContents"/>
              <w:bidi w:val="0"/>
              <w:spacing w:before="0" w:after="1"/>
              <w:ind w:left="0" w:right="0" w:hanging="0"/>
              <w:jc w:val="left"/>
              <w:rPr/>
            </w:pPr>
            <w:r>
              <w:rPr/>
              <w:t> </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vAlign w:val="center"/>
          </w:tcPr>
          <w:p>
            <w:pPr>
              <w:pStyle w:val="TableContents"/>
              <w:bidi w:val="0"/>
              <w:spacing w:before="0" w:after="1"/>
              <w:ind w:left="0" w:right="0" w:hanging="0"/>
              <w:jc w:val="left"/>
              <w:rPr/>
            </w:pPr>
            <w:r>
              <w:rPr/>
              <w:t> </w:t>
            </w:r>
          </w:p>
        </w:tc>
        <w:tc>
          <w:tcPr>
            <w:tcW w:w="1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191" w:type="dxa"/>
            <w:tcBorders/>
            <w:vAlign w:val="center"/>
          </w:tcPr>
          <w:p>
            <w:pPr>
              <w:pStyle w:val="TableContents"/>
              <w:bidi w:val="0"/>
              <w:spacing w:before="0" w:after="1"/>
              <w:ind w:left="0" w:right="0" w:hanging="0"/>
              <w:jc w:val="left"/>
              <w:rPr/>
            </w:pPr>
            <w:r>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346" w:type="dxa"/>
            <w:tcBorders/>
            <w:shd w:fill="CCEEFF" w:val="clear"/>
            <w:vAlign w:val="center"/>
          </w:tcPr>
          <w:p>
            <w:pPr>
              <w:pStyle w:val="TableContents"/>
              <w:bidi w:val="0"/>
              <w:spacing w:before="0" w:after="1"/>
              <w:ind w:left="0" w:right="0" w:hanging="0"/>
              <w:jc w:val="left"/>
              <w:rPr/>
            </w:pPr>
            <w:r>
              <w:rPr/>
              <w:t> </w:t>
            </w:r>
          </w:p>
        </w:tc>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BMI and LandWell</w:t>
            </w:r>
          </w:p>
        </w:tc>
        <w:tc>
          <w:tcPr>
            <w:tcW w:w="346" w:type="dxa"/>
            <w:tcBorders/>
            <w:shd w:fill="CCEEFF" w:val="clear"/>
            <w:vAlign w:val="center"/>
          </w:tcPr>
          <w:p>
            <w:pPr>
              <w:pStyle w:val="TableContents"/>
              <w:bidi w:val="0"/>
              <w:spacing w:before="0" w:after="1"/>
              <w:ind w:left="0" w:right="0" w:hanging="0"/>
              <w:jc w:val="left"/>
              <w:rPr/>
            </w:pPr>
            <w:r>
              <w:rPr/>
              <w:t> </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 - 77%</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Our control of Kronos includes approximately 50% we hold directly and approximately 31% held directly by NLI. We own approximately 83% of NLI. Our control of CompX is through NLI. We own approximately 63% of BMI. Our control of LandWell includes the approximately 27% we hold directly and 50% held by BMI.</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chief operating decision maker (“CODM”) evaluates segment performance based on each segment’s operating income, which is defined as income before income taxes and interest expense, exclusive of certain non-recurring items (such as gains or losses on disposition of business units and other long-lived assets outside the ordinary course of business and certain legal settlements) and certain general corporate income and expense items (including securities transactions gains and losses and interest and dividend income), which are not attributable to the operations of the reportable operating segments. Segment results we report may differ from amounts separately reported by our various subsidiaries due to purchase accounting adjustments and related amortization or differences in the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17">
                <wp:simplePos x="0" y="0"/>
                <wp:positionH relativeFrom="page">
                  <wp:posOffset>0</wp:posOffset>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both"/>
        <w:rPr>
          <w:rFonts w:ascii="Times New Roman;Times;serif" w:hAnsi="Times New Roman;Times;serif"/>
          <w:sz w:val="20"/>
        </w:rPr>
      </w:pPr>
      <w:bookmarkStart w:id="870" w:name="Tc_taxFeqtJP0WLVzacsqrVGw_9_11"/>
      <w:bookmarkStart w:id="871" w:name="Tc_w003-1pIekqTfbUDw11p2Q_9_8"/>
      <w:bookmarkStart w:id="872" w:name="Tc_Kj8sfptN10yM54AGntVz-w_9_5"/>
      <w:bookmarkStart w:id="873" w:name="Tc_9XVtsCOnXU2vg60GwrcIlA_9_2"/>
      <w:bookmarkStart w:id="874" w:name="Tc_qEFTp_2QGE6rGTl4W20ohA_9_0"/>
      <w:bookmarkStart w:id="875" w:name="Tc_ALrdqM-98E-Ypw3eFsvBVw_8_12"/>
      <w:bookmarkStart w:id="876" w:name="Tc_7tsS1FfxukqqrovKVnTLQA_8_9"/>
      <w:bookmarkStart w:id="877" w:name="Tc__GOz34nNukC2p3eZiCtTkA_8_6"/>
      <w:bookmarkStart w:id="878" w:name="Tc_sqnrwkYGg0CE-zfoWf5HLw_8_3"/>
      <w:bookmarkStart w:id="879" w:name="Tc_1_lrTpsDWU-DS_BY-pxh0Q_8_0"/>
      <w:bookmarkStart w:id="880" w:name="Tc_0CRq7a-HEkuX5pRvmxPgyA_7_0"/>
      <w:bookmarkStart w:id="881" w:name="Tc_-oy62RyI2EmcPQBR80oQhA_6_11"/>
      <w:bookmarkStart w:id="882" w:name="Tc_PLfj3HGBzUiwO8GEDLa9DA_6_8"/>
      <w:bookmarkStart w:id="883" w:name="Tc_deNIjkdicUeI7nrPwDkI8A_6_5"/>
      <w:bookmarkStart w:id="884" w:name="Tc_OOg-mg4g_EStpBaCHslfvw_6_2"/>
      <w:bookmarkStart w:id="885" w:name="Tc_XIlH-chVD02suiC04WPLpw_6_0"/>
      <w:bookmarkStart w:id="886" w:name="Tc_ID46vU87yU6HEKZHBsdkBA_5_0"/>
      <w:bookmarkStart w:id="887" w:name="Tc_MjQRfhkN0kiuaJoUReW3SA_4_2"/>
      <w:bookmarkStart w:id="888" w:name="Tc_LGH4qqpwT0G_hRmB0mIUfA_3_11"/>
      <w:bookmarkStart w:id="889" w:name="Tc_BbSlI6OhxEKAJsKmvXKM7Q_3_8"/>
      <w:bookmarkStart w:id="890" w:name="Tc_SAYQpVNnX0KzCEx3SZ-j2A_3_5"/>
      <w:bookmarkStart w:id="891" w:name="Tc_mdlNjYYqKEypE0fSNrCe5g_3_2"/>
      <w:bookmarkStart w:id="892" w:name="Tc_iP4tbvNSCkKAl5UeFq3utA_2_8"/>
      <w:bookmarkStart w:id="893" w:name="Tc_MElmmvsKGkKLkSrj2O_Itg_2_2"/>
      <w:bookmarkStart w:id="894" w:name="Tc_iNdU_knLTEq6BD51QHIu7Q_1_8"/>
      <w:bookmarkStart w:id="895" w:name="Tc_VSNQuP3Uh0uM8Bime87-Pg_1_2"/>
      <w:bookmarkStart w:id="896" w:name="Tc_1ALWqzUID0CyUKDpazV7BA_31_11"/>
      <w:bookmarkStart w:id="897" w:name="Tc_MIYkFh2FiUCwed8B9DfHhA_31_8"/>
      <w:bookmarkStart w:id="898" w:name="Tc_oHOdG6fGMUmZgJTrr7fzRA_31_5"/>
      <w:bookmarkStart w:id="899" w:name="Tc_th12z4US1E20Xw_TcEPa4A_31_2"/>
      <w:bookmarkStart w:id="900" w:name="Tc_MUNRfCCcxECLMK2aI_mLng_31_0"/>
      <w:bookmarkStart w:id="901" w:name="Tc_hOhom9-uP0-iCnefvCD5ZQ_30_0"/>
      <w:bookmarkStart w:id="902" w:name="Tc_ur5d0hM2ZUK55s-vUMS-eA_29_0"/>
      <w:bookmarkStart w:id="903" w:name="Tc_xIAyMQ5W6EmtFUkYLiizQw_28_3"/>
      <w:bookmarkStart w:id="904" w:name="Tc_Pv2CZxAke0KmbEISQqbNNQ_28_0"/>
      <w:bookmarkStart w:id="905" w:name="Tc_p4CzCUFZ-ka-ZNce_C7FSQ_27_0"/>
      <w:bookmarkStart w:id="906" w:name="Tc__PvxXyv6w0OuRKIEgS6XPg_26_0"/>
      <w:bookmarkStart w:id="907" w:name="Tc_fvUKlb0nq0qZfatY9tBzMQ_25_0"/>
      <w:bookmarkStart w:id="908" w:name="Tc_qaJFuW4nhkK-N2jVc0KEzw_24_0"/>
      <w:bookmarkStart w:id="909" w:name="Tc_Q6vMUPotcUupHH-I33iJvg_23_0"/>
      <w:bookmarkStart w:id="910" w:name="Tc_CvnYIyxB90uPN9QkOE_yPg_22_0"/>
      <w:bookmarkStart w:id="911" w:name="Tc_VSIhhLgVpE6WTVRrT6K6vw_21_11"/>
      <w:bookmarkStart w:id="912" w:name="Tc_0Xxc8Zw-T06_eEdASHoePw_21_8"/>
      <w:bookmarkStart w:id="913" w:name="Tc_mTDGKSVnKEmHLdSlPz6Qdw_21_5"/>
      <w:bookmarkStart w:id="914" w:name="Tc_ML0nOAh2GEyXxn1iFXkvWA_21_2"/>
      <w:bookmarkStart w:id="915" w:name="Tc_W1FRT_ioeUWtDG3-ZIyCNw_21_0"/>
      <w:bookmarkStart w:id="916" w:name="Tc_NGyBsfA-FkSQnYC4nUfg8w_20_0"/>
      <w:bookmarkStart w:id="917" w:name="Tc_GJvCubIrT0av7dyZHR1jbg_19_11"/>
      <w:bookmarkStart w:id="918" w:name="Tc_sEoGCxwOTEGhOl-a0-VEMw_19_8"/>
      <w:bookmarkStart w:id="919" w:name="Tc_XAK0FuOhxEq60L7vd5UpRg_19_5"/>
      <w:bookmarkStart w:id="920" w:name="Tc_PAEhwc_R30C0pwfXoAVRgQ_19_2"/>
      <w:bookmarkStart w:id="921" w:name="Tc_e4oEyGLRQEOQqwgU_QAFJA_19_0"/>
      <w:bookmarkStart w:id="922" w:name="Tc_cCYpODxtE0eXbzNjqKZChg_18_0"/>
      <w:bookmarkStart w:id="923" w:name="Tc_ETBz6vtUW0yk9SwkQrmBMA_17_0"/>
      <w:bookmarkStart w:id="924" w:name="Tc_9uLmgC8ayEKE3KvLSWLgxg_16_11"/>
      <w:bookmarkStart w:id="925" w:name="Tc_pyPu0qvVO0qLPfnI9xkdpg_16_8"/>
      <w:bookmarkStart w:id="926" w:name="Tc_r9R0v2cifUygEfGvwygUCg_16_5"/>
      <w:bookmarkStart w:id="927" w:name="Tc_85CQlOBdb0C98llKMpIzRQ_16_2"/>
      <w:bookmarkStart w:id="928" w:name="Tc_xJv82BhydkivMeHoEGIrDQ_16_0"/>
      <w:bookmarkStart w:id="929" w:name="Tc_E22PcOGRbEitvmER60PW5g_15_0"/>
      <w:bookmarkStart w:id="930" w:name="Tc_Zu-vphRzVk68vnnoSiDZAw_14_11"/>
      <w:bookmarkStart w:id="931" w:name="Tc_ErRY3UzV0Eu4-rd1julW9w_14_8"/>
      <w:bookmarkStart w:id="932" w:name="Tc_kUKOuLf_X0yI3ST_4jBXpg_14_5"/>
      <w:bookmarkStart w:id="933" w:name="Tc_nWesKylAhEmr75m7CL96jQ_14_2"/>
      <w:bookmarkStart w:id="934" w:name="Tc_uGLRZ-vd9EWU9CY4oQ6fVw_14_0"/>
      <w:bookmarkStart w:id="935" w:name="Tc_7nvsLRItSUCWL92Rc9d2bw_13_0"/>
      <w:bookmarkStart w:id="936" w:name="Tc_pVLejrjnGE213OlsBr_mmA_12_0"/>
      <w:bookmarkStart w:id="937" w:name="Tc_M3h2x9hpykCZchXq3uI6Cw_11_11"/>
      <w:bookmarkStart w:id="938" w:name="Tc_zzkXOO70jE-V1UamUN9sAg_11_8"/>
      <w:bookmarkStart w:id="939" w:name="Tc_mdKKwt7jwU6IT34frw1cow_11_5"/>
      <w:bookmarkStart w:id="940" w:name="Tc_PJQiWgTMLkio3dCTRQ-S7A_11_2"/>
      <w:bookmarkStart w:id="941" w:name="Tc_3w9nml7JpUyedLRQWs1CfA_11_0"/>
      <w:bookmarkStart w:id="942" w:name="Tc_cREcxKheAUyFuFQyApgiPA_10_0"/>
      <w:bookmarkStart w:id="943" w:name="Tc_yLfWC48IGE24TncxUP0nBw_9_11"/>
      <w:bookmarkStart w:id="944" w:name="Tc_KHSyFhtJuUmsYdg9gFe4UQ_9_8"/>
      <w:bookmarkStart w:id="945" w:name="Tc_m61X8_xuh0uyvRkj805QGQ_9_5"/>
      <w:bookmarkStart w:id="946" w:name="Tc_97Kp1G03DkCiL8w9cRhAIA_9_2"/>
      <w:bookmarkStart w:id="947" w:name="Tc_ez1U5VuDrUG2gB8pfP8UZg_9_0"/>
      <w:bookmarkStart w:id="948" w:name="Tc_yT3di8RNAkW7cAhIKphRTQ_8_0"/>
      <w:bookmarkStart w:id="949" w:name="Tc_6PYnHMk66UWZA63J3J4wiQ_7_0"/>
      <w:bookmarkStart w:id="950" w:name="Tc_seLrxVnQfke7ZVFBXkj6kQ_6_11"/>
      <w:bookmarkStart w:id="951" w:name="Tc_rLN6-tbYAE-2GZcz-yCqoQ_6_8"/>
      <w:bookmarkStart w:id="952" w:name="Tc_4vo4AIU4NkmWEXpAbyySBw_6_5"/>
      <w:bookmarkStart w:id="953" w:name="Tc_8lD88z_EQ0WJEkAP1UtTEQ_6_2"/>
      <w:bookmarkStart w:id="954" w:name="Tc_qxOzXiLqE0u2tBxaLm9o9Q_6_0"/>
      <w:bookmarkStart w:id="955" w:name="Tc_5y5RxfZbMk24xap70Htcsw_5_0"/>
      <w:bookmarkStart w:id="956" w:name="Tc_kODY-EL_oU-iTQ0X1GHycA_4_2"/>
      <w:bookmarkStart w:id="957" w:name="Tc_02eZCBaFj0G8wfD3KDC6HQ_3_11"/>
      <w:bookmarkStart w:id="958" w:name="Tc_z0s9BuiWXkO8CjyjkYEzGQ_3_8"/>
      <w:bookmarkStart w:id="959" w:name="Tc_0rGD0TIcI0mvJaDT-NbVDg_3_5"/>
      <w:bookmarkStart w:id="960" w:name="Tc_B8JrCbTCAkKQUiYpw6skrA_3_2"/>
      <w:bookmarkStart w:id="961" w:name="Tc_nFs4PVDWyEWaImZZSUMMTA_2_8"/>
      <w:bookmarkStart w:id="962" w:name="Tc_5wcjIfHYyUKi0zV84ThHPg_2_2"/>
      <w:bookmarkStart w:id="963" w:name="Tc_3vfLNnl_rEanr9OHe-ICqg_1_8"/>
      <w:bookmarkStart w:id="964" w:name="Tc_RGZppZYHMU2pYbsRuu1Pow_1_2"/>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r>
        <w:rPr>
          <w:rFonts w:ascii="Times New Roman;Times;serif" w:hAnsi="Times New Roman;Times;serif"/>
          <w:sz w:val="20"/>
        </w:rPr>
        <w:t>way we define operating income. Intersegment sales are not material. Interest income included in the calculation of segment operating income is not significant for the three and six months ended June 30, 2025 and 2026.</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01"/>
        <w:gridCol w:w="346"/>
        <w:gridCol w:w="211"/>
        <w:gridCol w:w="584"/>
        <w:gridCol w:w="346"/>
        <w:gridCol w:w="211"/>
        <w:gridCol w:w="584"/>
        <w:gridCol w:w="406"/>
        <w:gridCol w:w="211"/>
        <w:gridCol w:w="721"/>
        <w:gridCol w:w="406"/>
        <w:gridCol w:w="211"/>
        <w:gridCol w:w="767"/>
      </w:tblGrid>
      <w:tr>
        <w:trPr/>
        <w:tc>
          <w:tcPr>
            <w:tcW w:w="5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302635" cy="175260"/>
                      <wp:effectExtent l="0" t="0" r="0" b="0"/>
                      <wp:wrapNone/>
                      <wp:docPr id="117" name="Frame117"/>
                      <a:graphic xmlns:a="http://schemas.openxmlformats.org/drawingml/2006/main">
                        <a:graphicData uri="http://schemas.microsoft.com/office/word/2010/wordprocessingShape">
                          <wps:wsp>
                            <wps:cNvSpPr txBox="1"/>
                            <wps:spPr>
                              <a:xfrm>
                                <a:off x="0" y="0"/>
                                <a:ext cx="330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70840" cy="175260"/>
                      <wp:effectExtent l="0" t="0" r="0" b="0"/>
                      <wp:wrapNone/>
                      <wp:docPr id="120" name="Frame120"/>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70840" cy="175260"/>
                      <wp:effectExtent l="0" t="0" r="0" b="0"/>
                      <wp:wrapNone/>
                      <wp:docPr id="123" name="Frame123"/>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57810" cy="175260"/>
                      <wp:effectExtent l="0" t="0" r="0" b="0"/>
                      <wp:wrapNone/>
                      <wp:docPr id="124" name="Frame12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57835" cy="175260"/>
                      <wp:effectExtent l="0" t="0" r="0" b="0"/>
                      <wp:wrapNone/>
                      <wp:docPr id="126" name="Frame12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57810" cy="175260"/>
                      <wp:effectExtent l="0" t="0" r="0" b="0"/>
                      <wp:wrapNone/>
                      <wp:docPr id="127" name="Frame12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87045" cy="175260"/>
                      <wp:effectExtent l="0" t="0" r="0" b="0"/>
                      <wp:wrapNone/>
                      <wp:docPr id="129" name="Frame129"/>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3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406" w:type="dxa"/>
            <w:tcBorders/>
            <w:vAlign w:val="center"/>
          </w:tcPr>
          <w:p>
            <w:pPr>
              <w:pStyle w:val="TableContents"/>
              <w:bidi w:val="0"/>
              <w:spacing w:before="0" w:after="0"/>
              <w:ind w:left="0" w:right="0" w:hanging="0"/>
              <w:jc w:val="left"/>
              <w:rPr/>
            </w:pPr>
            <w:r>
              <w:rPr/>
              <w:t>​</w:t>
            </w:r>
          </w:p>
        </w:tc>
        <w:tc>
          <w:tcPr>
            <w:tcW w:w="231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5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406" w:type="dxa"/>
            <w:tcBorders/>
            <w:vAlign w:val="center"/>
          </w:tcPr>
          <w:p>
            <w:pPr>
              <w:pStyle w:val="TableContents"/>
              <w:bidi w:val="0"/>
              <w:spacing w:before="0" w:after="0"/>
              <w:ind w:left="0" w:right="0" w:hanging="0"/>
              <w:jc w:val="left"/>
              <w:rPr/>
            </w:pPr>
            <w:r>
              <w:rPr/>
              <w:t>​</w:t>
            </w:r>
          </w:p>
        </w:tc>
        <w:tc>
          <w:tcPr>
            <w:tcW w:w="23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5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06" w:type="dxa"/>
            <w:tcBorders/>
            <w:vAlign w:val="center"/>
          </w:tcPr>
          <w:p>
            <w:pPr>
              <w:pStyle w:val="TableContents"/>
              <w:bidi w:val="0"/>
              <w:spacing w:before="0" w:after="0"/>
              <w:ind w:left="0" w:right="0" w:hanging="0"/>
              <w:jc w:val="center"/>
              <w:rPr/>
            </w:pPr>
            <w:r>
              <w:rPr/>
              <w:t>  ​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06" w:type="dxa"/>
            <w:tcBorders/>
            <w:vAlign w:val="center"/>
          </w:tcPr>
          <w:p>
            <w:pPr>
              <w:pStyle w:val="TableContents"/>
              <w:bidi w:val="0"/>
              <w:spacing w:before="0" w:after="0"/>
              <w:ind w:left="0" w:right="0" w:hanging="0"/>
              <w:jc w:val="center"/>
              <w:rPr/>
            </w:pPr>
            <w:r>
              <w:rPr/>
              <w:t>  ​ ​ ​ ​</w:t>
            </w:r>
          </w:p>
        </w:tc>
        <w:tc>
          <w:tcPr>
            <w:tcW w:w="9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58"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5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pPr>
            <w:r>
              <w:rPr/>
              <w:t>​</w:t>
            </w:r>
          </w:p>
        </w:tc>
      </w:tr>
      <w:tr>
        <w:trPr/>
        <w:tc>
          <w:tcPr>
            <w:tcW w:w="5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558.1</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984.2</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1,067.9</w:t>
            </w:r>
          </w:p>
        </w:tc>
      </w:tr>
      <w:tr>
        <w:trPr/>
        <w:tc>
          <w:tcPr>
            <w:tcW w:w="5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84.2</w:t>
            </w:r>
          </w:p>
        </w:tc>
      </w:tr>
      <w:tr>
        <w:trPr/>
        <w:tc>
          <w:tcPr>
            <w:tcW w:w="5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w:t>
            </w:r>
          </w:p>
        </w:tc>
      </w:tr>
      <w:tr>
        <w:trPr/>
        <w:tc>
          <w:tcPr>
            <w:tcW w:w="5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606.1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1,166.2</w:t>
            </w:r>
          </w:p>
        </w:tc>
      </w:tr>
      <w:tr>
        <w:trPr/>
        <w:tc>
          <w:tcPr>
            <w:tcW w:w="5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  ​</w:t>
            </w:r>
          </w:p>
        </w:tc>
      </w:tr>
      <w:tr>
        <w:trPr/>
        <w:tc>
          <w:tcPr>
            <w:tcW w:w="5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455.8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815.5</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882.8</w:t>
            </w:r>
          </w:p>
        </w:tc>
      </w:tr>
      <w:tr>
        <w:trPr/>
        <w:tc>
          <w:tcPr>
            <w:tcW w:w="5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28.1</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55.4</w:t>
            </w:r>
          </w:p>
        </w:tc>
      </w:tr>
      <w:tr>
        <w:trPr/>
        <w:tc>
          <w:tcPr>
            <w:tcW w:w="5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w:t>
            </w:r>
          </w:p>
        </w:tc>
      </w:tr>
      <w:tr>
        <w:trPr/>
        <w:tc>
          <w:tcPr>
            <w:tcW w:w="5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486.0</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878.4</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943.1</w:t>
            </w:r>
          </w:p>
        </w:tc>
      </w:tr>
      <w:tr>
        <w:trPr/>
        <w:tc>
          <w:tcPr>
            <w:tcW w:w="5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  ​</w:t>
            </w:r>
          </w:p>
        </w:tc>
      </w:tr>
      <w:tr>
        <w:trPr/>
        <w:tc>
          <w:tcPr>
            <w:tcW w:w="5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102.3</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185.1</w:t>
            </w:r>
          </w:p>
        </w:tc>
      </w:tr>
      <w:tr>
        <w:trPr/>
        <w:tc>
          <w:tcPr>
            <w:tcW w:w="5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28.8</w:t>
            </w:r>
          </w:p>
        </w:tc>
      </w:tr>
      <w:tr>
        <w:trPr/>
        <w:tc>
          <w:tcPr>
            <w:tcW w:w="5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w:t>
            </w:r>
          </w:p>
        </w:tc>
      </w:tr>
      <w:tr>
        <w:trPr/>
        <w:tc>
          <w:tcPr>
            <w:tcW w:w="5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223.1</w:t>
            </w:r>
          </w:p>
        </w:tc>
      </w:tr>
      <w:tr>
        <w:trPr/>
        <w:tc>
          <w:tcPr>
            <w:tcW w:w="5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  ​</w:t>
            </w:r>
          </w:p>
        </w:tc>
      </w:tr>
      <w:tr>
        <w:trPr/>
        <w:tc>
          <w:tcPr>
            <w:tcW w:w="5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54.9</w:t>
            </w:r>
          </w:p>
        </w:tc>
      </w:tr>
      <w:tr>
        <w:trPr/>
        <w:tc>
          <w:tcPr>
            <w:tcW w:w="5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w:t>
            </w:r>
          </w:p>
        </w:tc>
      </w:tr>
      <w:tr>
        <w:trPr/>
        <w:tc>
          <w:tcPr>
            <w:tcW w:w="5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w:t>
            </w:r>
          </w:p>
        </w:tc>
      </w:tr>
      <w:tr>
        <w:trPr/>
        <w:tc>
          <w:tcPr>
            <w:tcW w:w="5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operating income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67.7</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100.6</w:t>
            </w:r>
          </w:p>
        </w:tc>
      </w:tr>
      <w:tr>
        <w:trPr/>
        <w:tc>
          <w:tcPr>
            <w:tcW w:w="5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corporate items: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  ​</w:t>
            </w:r>
          </w:p>
        </w:tc>
      </w:tr>
      <w:tr>
        <w:trPr/>
        <w:tc>
          <w:tcPr>
            <w:tcW w:w="5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and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w:t>
            </w:r>
          </w:p>
        </w:tc>
      </w:tr>
      <w:tr>
        <w:trPr/>
        <w:tc>
          <w:tcPr>
            <w:tcW w:w="5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r>
      <w:tr>
        <w:trPr/>
        <w:tc>
          <w:tcPr>
            <w:tcW w:w="5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market value of Valhi common stock held by subsidiaries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5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expenses,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w:t>
            </w:r>
          </w:p>
        </w:tc>
      </w:tr>
      <w:tr>
        <w:trPr/>
        <w:tc>
          <w:tcPr>
            <w:tcW w:w="5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(29.4)</w:t>
            </w:r>
          </w:p>
        </w:tc>
      </w:tr>
      <w:tr>
        <w:trPr/>
        <w:tc>
          <w:tcPr>
            <w:tcW w:w="5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61.4</w:t>
            </w:r>
          </w:p>
        </w:tc>
      </w:tr>
    </w:tbl>
    <w:p>
      <w:pPr>
        <w:pStyle w:val="TextBody"/>
        <w:bidi w:val="0"/>
        <w:spacing w:before="0" w:after="0"/>
        <w:ind w:left="0" w:right="0" w:firstLine="720"/>
        <w:jc w:val="both"/>
        <w:rPr/>
      </w:pPr>
      <w:r>
        <w:rPr/>
        <w:t>​</w:t>
      </w:r>
    </w:p>
    <w:tbl>
      <w:tblPr>
        <w:tblW w:w="7851" w:type="dxa"/>
        <w:jc w:val="left"/>
        <w:tblInd w:w="0" w:type="dxa"/>
        <w:tblLayout w:type="fixed"/>
        <w:tblCellMar>
          <w:top w:w="0" w:type="dxa"/>
          <w:left w:w="0" w:type="dxa"/>
          <w:bottom w:w="0" w:type="dxa"/>
          <w:right w:w="0" w:type="dxa"/>
        </w:tblCellMar>
      </w:tblPr>
      <w:tblGrid>
        <w:gridCol w:w="3541"/>
        <w:gridCol w:w="346"/>
        <w:gridCol w:w="225"/>
        <w:gridCol w:w="497"/>
        <w:gridCol w:w="369"/>
        <w:gridCol w:w="225"/>
        <w:gridCol w:w="497"/>
        <w:gridCol w:w="346"/>
        <w:gridCol w:w="211"/>
        <w:gridCol w:w="466"/>
        <w:gridCol w:w="346"/>
        <w:gridCol w:w="211"/>
        <w:gridCol w:w="571"/>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248535" cy="175260"/>
                      <wp:effectExtent l="0" t="0" r="0" b="0"/>
                      <wp:wrapNone/>
                      <wp:docPr id="130" name="Frame130"/>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42875" cy="175260"/>
                      <wp:effectExtent l="0" t="0" r="0" b="0"/>
                      <wp:wrapNone/>
                      <wp:docPr id="132" name="Frame132"/>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15595" cy="175260"/>
                      <wp:effectExtent l="0" t="0" r="0" b="0"/>
                      <wp:wrapNone/>
                      <wp:docPr id="133" name="Frame133"/>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34315" cy="175260"/>
                      <wp:effectExtent l="0" t="0" r="0" b="0"/>
                      <wp:wrapNone/>
                      <wp:docPr id="134" name="Frame134"/>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42875" cy="175260"/>
                      <wp:effectExtent l="0" t="0" r="0" b="0"/>
                      <wp:wrapNone/>
                      <wp:docPr id="135" name="Frame13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15595" cy="175260"/>
                      <wp:effectExtent l="0" t="0" r="0" b="0"/>
                      <wp:wrapNone/>
                      <wp:docPr id="136" name="Frame136"/>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95910" cy="175260"/>
                      <wp:effectExtent l="0" t="0" r="0" b="0"/>
                      <wp:wrapNone/>
                      <wp:docPr id="139" name="Frame13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62585" cy="175260"/>
                      <wp:effectExtent l="0" t="0" r="0" b="0"/>
                      <wp:wrapNone/>
                      <wp:docPr id="142" name="Frame1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1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46" w:type="dxa"/>
            <w:tcBorders/>
            <w:vAlign w:val="center"/>
          </w:tcPr>
          <w:p>
            <w:pPr>
              <w:pStyle w:val="TableContents"/>
              <w:bidi w:val="0"/>
              <w:spacing w:before="0" w:after="0"/>
              <w:ind w:left="0" w:right="0" w:hanging="0"/>
              <w:jc w:val="center"/>
              <w:rPr/>
            </w:pPr>
            <w:r>
              <w:rPr/>
              <w:t>​</w:t>
            </w:r>
          </w:p>
        </w:tc>
        <w:tc>
          <w:tcPr>
            <w:tcW w:w="180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346" w:type="dxa"/>
            <w:tcBorders/>
            <w:vAlign w:val="center"/>
          </w:tcPr>
          <w:p>
            <w:pPr>
              <w:pStyle w:val="TableContents"/>
              <w:bidi w:val="0"/>
              <w:spacing w:before="0" w:after="0"/>
              <w:ind w:left="0" w:right="0" w:hanging="0"/>
              <w:jc w:val="center"/>
              <w:rPr/>
            </w:pPr>
            <w:r>
              <w:rPr/>
              <w:t>​</w:t>
            </w:r>
          </w:p>
        </w:tc>
        <w:tc>
          <w:tcPr>
            <w:tcW w:w="18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9" w:type="dxa"/>
            <w:tcBorders/>
            <w:vAlign w:val="center"/>
          </w:tcPr>
          <w:p>
            <w:pPr>
              <w:pStyle w:val="TableContents"/>
              <w:bidi w:val="0"/>
              <w:spacing w:before="0" w:after="0"/>
              <w:ind w:left="0" w:right="0" w:hanging="0"/>
              <w:jc w:val="center"/>
              <w:rPr/>
            </w:pPr>
            <w:r>
              <w:rPr/>
              <w:t>  ​ ​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85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964"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right"/>
              <w:rPr/>
            </w:pPr>
            <w:r>
              <w:rPr/>
              <w:t>  ​</w:t>
            </w:r>
          </w:p>
        </w:tc>
        <w:tc>
          <w:tcPr>
            <w:tcW w:w="369"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6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6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6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34.0</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Included in the determination of the Real Estate Management and Development Segment operating income are infrastructure reimbursements and a gain from the sale of a building. See Note 12.</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44">
                <wp:simplePos x="0" y="0"/>
                <wp:positionH relativeFrom="page">
                  <wp:posOffset>0</wp:posOffset>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bookmarkStart w:id="965" w:name="Tc_ZocuwZnXP0mi10g2aeW0oQ_15_5"/>
      <w:bookmarkStart w:id="966" w:name="Tc_HHwuAAAOJUqCr70YarUc3A_15_2"/>
      <w:bookmarkStart w:id="967" w:name="Tc_2CrV980pCkG69JNvhRJ8kQ_15_0"/>
      <w:bookmarkStart w:id="968" w:name="Tc_Zuhr0Wio6E6evY3K7mxsbg_14_0"/>
      <w:bookmarkStart w:id="969" w:name="Tc_P63mkZcOrE2cOHf6LqnNWQ_13_0"/>
      <w:bookmarkStart w:id="970" w:name="Tc_MCnls-0DwkyL3ROlakEUUg_12_0"/>
      <w:bookmarkStart w:id="971" w:name="Tc_RLviFPNDkECPcLIYYgSlRQ_11_0"/>
      <w:bookmarkStart w:id="972" w:name="Tc_KFDBWHdq60-kcs0XkJK_vQ_10_0"/>
      <w:bookmarkStart w:id="973" w:name="Tc_EaxzYIOj3kaiqk9t_dQAEA_9_0"/>
      <w:bookmarkStart w:id="974" w:name="Tc_DUKWoGYHykqP9XeQSdBbnA_8_0"/>
      <w:bookmarkStart w:id="975" w:name="Tc_azTGsnwBiUyy0ReCULX_mw_7_0"/>
      <w:bookmarkStart w:id="976" w:name="Tc_IdwTBBcmX0WZOmn0sRUIMw_6_0"/>
      <w:bookmarkStart w:id="977" w:name="Tc_j2YLZaSZqUCldqOuyGxqlw_5_5"/>
      <w:bookmarkStart w:id="978" w:name="Tc_ovC6FDEq702B1JKHYpENZw_5_2"/>
      <w:bookmarkStart w:id="979" w:name="Tc_SpFfHuXJgUOplqlYqft-1A_5_0"/>
      <w:bookmarkStart w:id="980" w:name="Tc_9ob409kkxEuZ3JqEvKFk5A_4_0"/>
      <w:bookmarkStart w:id="981" w:name="Tc_hPRhu1-7YU2gcRH4ovUiag_3_2"/>
      <w:bookmarkStart w:id="982" w:name="Tc__21Cr0uYjEmp2wNpRmd-WA_2_5"/>
      <w:bookmarkStart w:id="983" w:name="Tc_uv2q_tL9dkGMR5CJcSME8Q_2_2"/>
      <w:bookmarkStart w:id="984" w:name="Tc_Svc8-LwA2kysDKq4ssEibA_1_5"/>
      <w:bookmarkStart w:id="985" w:name="Tc_4gRgA6SEYkuHibUxBDBLqA_1_2"/>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r>
        <w:rPr>
          <w:rFonts w:ascii="Times New Roman;Times;serif" w:hAnsi="Times New Roman;Times;serif"/>
          <w:b/>
          <w:sz w:val="20"/>
        </w:rPr>
        <w:t>Note 3 – Accounts and other receivables, net:</w:t>
      </w:r>
    </w:p>
    <w:p>
      <w:pPr>
        <w:pStyle w:val="TextBody"/>
        <w:bidi w:val="0"/>
        <w:spacing w:before="0" w:after="0"/>
        <w:ind w:left="0" w:right="0" w:hanging="0"/>
        <w:jc w:val="left"/>
        <w:rPr/>
      </w:pPr>
      <w:r>
        <w:rPr/>
        <w:t>​</w:t>
      </w:r>
    </w:p>
    <w:tbl>
      <w:tblPr>
        <w:tblW w:w="5673" w:type="dxa"/>
        <w:jc w:val="left"/>
        <w:tblInd w:w="0" w:type="dxa"/>
        <w:tblLayout w:type="fixed"/>
        <w:tblCellMar>
          <w:top w:w="0" w:type="dxa"/>
          <w:left w:w="0" w:type="dxa"/>
          <w:bottom w:w="0" w:type="dxa"/>
          <w:right w:w="0" w:type="dxa"/>
        </w:tblCellMar>
      </w:tblPr>
      <w:tblGrid>
        <w:gridCol w:w="2776"/>
        <w:gridCol w:w="346"/>
        <w:gridCol w:w="352"/>
        <w:gridCol w:w="953"/>
        <w:gridCol w:w="346"/>
        <w:gridCol w:w="214"/>
        <w:gridCol w:w="68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762760" cy="175260"/>
                      <wp:effectExtent l="0" t="0" r="0" b="0"/>
                      <wp:wrapNone/>
                      <wp:docPr id="144" name="Frame144"/>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23520" cy="175260"/>
                      <wp:effectExtent l="0" t="0" r="0" b="0"/>
                      <wp:wrapNone/>
                      <wp:docPr id="146" name="Frame146"/>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05155" cy="175260"/>
                      <wp:effectExtent l="0" t="0" r="0" b="0"/>
                      <wp:wrapNone/>
                      <wp:docPr id="147" name="Frame147"/>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5890" cy="175260"/>
                      <wp:effectExtent l="0" t="0" r="0" b="0"/>
                      <wp:wrapNone/>
                      <wp:docPr id="149" name="Frame14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35610" cy="175260"/>
                      <wp:effectExtent l="0" t="0" r="0" b="0"/>
                      <wp:wrapNone/>
                      <wp:docPr id="150" name="Frame15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67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5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34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Kronos</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270.7</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373.4</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BMI/LandWell</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 </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and 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36.8</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from affiliates:</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Contran -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Contran - trade items</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Refundable income taxes</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434.2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bookmarkStart w:id="986" w:name="Tc_lt0jTlQNQkmUQALuFVmsyw_17_5"/>
      <w:bookmarkStart w:id="987" w:name="Tc_bgSe06aLfUi845Z3_rx3qw_17_2"/>
      <w:bookmarkStart w:id="988" w:name="Tc_qiMoioTbcUGREoTGOABKLQ_17_0"/>
      <w:bookmarkStart w:id="989" w:name="Tc_dCxLtmdgvEWk0pcXsSlGyw_16_0"/>
      <w:bookmarkStart w:id="990" w:name="Tc_BK53qwRFQU6r3-xOa5X1xg_15_0"/>
      <w:bookmarkStart w:id="991" w:name="Tc_ARbBnW4mp0mtIoHzF3hCTg_14_0"/>
      <w:bookmarkStart w:id="992" w:name="Tc_czpVYTYvAE24QI5LVYcz_w_13_0"/>
      <w:bookmarkStart w:id="993" w:name="Tc_GHo22T8KskyyOjE9w_ln3g_12_0"/>
      <w:bookmarkStart w:id="994" w:name="Tc_ILS24-mah0uTm92AoVec6w_11_0"/>
      <w:bookmarkStart w:id="995" w:name="Tc_q1Q15utQJEuKJYfpfoS_LA_10_0"/>
      <w:bookmarkStart w:id="996" w:name="Tc_M6lj4PskFE-U593qeCXM0Q_9_0"/>
      <w:bookmarkStart w:id="997" w:name="Tc_UQ85RcZz4U6EugcTN39LYA_8_0"/>
      <w:bookmarkStart w:id="998" w:name="Tc_MPtvQf2v7EOuzUWbteGVTg_7_0"/>
      <w:bookmarkStart w:id="999" w:name="Tc_5DJbgkTjokmBjJnJ0Nrf1A_6_0"/>
      <w:bookmarkStart w:id="1000" w:name="Tc_PtLI_x0bNEKyNA9FXG5VTw_5_5"/>
      <w:bookmarkStart w:id="1001" w:name="Tc_NWexYG8xyUa-r80IwlsmOw_5_2"/>
      <w:bookmarkStart w:id="1002" w:name="Tc_2Uqqp7a2Y0ykDyB7PF_HhQ_5_0"/>
      <w:bookmarkStart w:id="1003" w:name="Tc_4qhbFmIEkUKvq063R6vaFg_4_0"/>
      <w:bookmarkStart w:id="1004" w:name="Tc_1qhdUzLJfEauKp_q1rvVqw_3_2"/>
      <w:bookmarkStart w:id="1005" w:name="Tc_2nsVYFEl30W4HKYsC7H4DQ_2_5"/>
      <w:bookmarkStart w:id="1006" w:name="Tc_rNuHyDjdT0eN8tje0L0oQg_2_2"/>
      <w:bookmarkStart w:id="1007" w:name="Tc_28iQW6qHuUStwOuiBWdsXg_1_5"/>
      <w:bookmarkStart w:id="1008" w:name="Tc_od5iYMClyU-7Mpka_X6_dA_1_2"/>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r>
        <w:rPr>
          <w:rFonts w:ascii="Times New Roman;Times;serif" w:hAnsi="Times New Roman;Times;serif"/>
          <w:b/>
          <w:sz w:val="20"/>
        </w:rPr>
        <w:t>Note 4 – Inventories, net:</w:t>
      </w:r>
    </w:p>
    <w:p>
      <w:pPr>
        <w:pStyle w:val="TextBody"/>
        <w:bidi w:val="0"/>
        <w:spacing w:before="0" w:after="0"/>
        <w:ind w:left="0" w:right="0" w:hanging="0"/>
        <w:jc w:val="left"/>
        <w:rPr/>
      </w:pPr>
      <w:r>
        <w:rPr/>
        <w:t>​</w:t>
      </w:r>
    </w:p>
    <w:tbl>
      <w:tblPr>
        <w:tblW w:w="5073" w:type="dxa"/>
        <w:jc w:val="left"/>
        <w:tblInd w:w="0" w:type="dxa"/>
        <w:tblLayout w:type="fixed"/>
        <w:tblCellMar>
          <w:top w:w="0" w:type="dxa"/>
          <w:left w:w="0" w:type="dxa"/>
          <w:bottom w:w="0" w:type="dxa"/>
          <w:right w:w="0" w:type="dxa"/>
        </w:tblCellMar>
      </w:tblPr>
      <w:tblGrid>
        <w:gridCol w:w="2176"/>
        <w:gridCol w:w="346"/>
        <w:gridCol w:w="352"/>
        <w:gridCol w:w="953"/>
        <w:gridCol w:w="346"/>
        <w:gridCol w:w="214"/>
        <w:gridCol w:w="686"/>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81760" cy="175260"/>
                      <wp:effectExtent l="0" t="0" r="0" b="0"/>
                      <wp:wrapNone/>
                      <wp:docPr id="151" name="Frame151"/>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23520" cy="175260"/>
                      <wp:effectExtent l="0" t="0" r="0" b="0"/>
                      <wp:wrapNone/>
                      <wp:docPr id="153" name="Frame153"/>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05155" cy="175260"/>
                      <wp:effectExtent l="0" t="0" r="0" b="0"/>
                      <wp:wrapNone/>
                      <wp:docPr id="154" name="Frame154"/>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5890" cy="175260"/>
                      <wp:effectExtent l="0" t="0" r="0" b="0"/>
                      <wp:wrapNone/>
                      <wp:docPr id="156" name="Frame15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35610" cy="175260"/>
                      <wp:effectExtent l="0" t="0" r="0" b="0"/>
                      <wp:wrapNone/>
                      <wp:docPr id="157" name="Frame157"/>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07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51"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1"/>
              <w:ind w:left="0" w:right="0" w:hanging="0"/>
              <w:jc w:val="left"/>
              <w:rPr/>
            </w:pPr>
            <w:r>
              <w:rPr/>
              <w:t> </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  ​</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179.7</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144.5</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raw materials</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185.3</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150.4</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pPr>
            <w:r>
              <w:rPr/>
              <w:t>  ​</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48.1</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21.2</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in-process products</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69.3</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pPr>
            <w:r>
              <w:rPr/>
              <w:t>  ​</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268.7</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177.6</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finished products</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273.6</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182.3</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Supplies (chemicals)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128.9</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659.8</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530.9</w:t>
            </w:r>
          </w:p>
        </w:tc>
      </w:tr>
    </w:tbl>
    <w:p>
      <w:pPr>
        <w:pStyle w:val="TextBody"/>
        <w:bidi w:val="0"/>
        <w:spacing w:before="0" w:after="240"/>
        <w:ind w:left="0" w:right="0" w:firstLine="720"/>
        <w:jc w:val="both"/>
        <w:rPr/>
      </w:pPr>
      <w:r>
        <w:rPr/>
        <w:t>​</w:t>
      </w:r>
    </w:p>
    <w:p>
      <w:pPr>
        <w:pStyle w:val="TextBody"/>
        <w:bidi w:val="0"/>
        <w:spacing w:before="240" w:after="240"/>
        <w:ind w:left="0" w:right="0" w:hanging="0"/>
        <w:jc w:val="left"/>
        <w:rPr>
          <w:rFonts w:ascii="Times New Roman;Times;serif" w:hAnsi="Times New Roman;Times;serif"/>
          <w:b/>
          <w:sz w:val="20"/>
        </w:rPr>
      </w:pPr>
      <w:bookmarkStart w:id="1009" w:name="Tc_ZMTUDvxmTEiaU89MLxyGdw_13_8"/>
      <w:bookmarkStart w:id="1010" w:name="Tc_WNRskYe8tE2ycit9sCBMvg_13_5"/>
      <w:bookmarkStart w:id="1011" w:name="Tc_4B1Wng4y7keLwgfl3q2TUg_13_2"/>
      <w:bookmarkStart w:id="1012" w:name="Tc_XJ9ZWyZS4kGB2UyNt2K_fw_13_0"/>
      <w:bookmarkStart w:id="1013" w:name="Tc_KMJH9mhen0ayqbuC4VLDPQ_11_9"/>
      <w:bookmarkStart w:id="1014" w:name="Tc_rVCOd-ZX-Uym2RIhPbbHeg_11_8"/>
      <w:bookmarkStart w:id="1015" w:name="Tc_fKgk4WhNcEiMsvWqn16TIQ_11_5"/>
      <w:bookmarkStart w:id="1016" w:name="Tc_g-7A5XbsVkOtGk08rrmnTQ_11_2"/>
      <w:bookmarkStart w:id="1017" w:name="Tc_fJ5z3xYVIk-av08UxVOQwg_11_0"/>
      <w:bookmarkStart w:id="1018" w:name="Tc_2WtJjF_djUqeTXSTXZmodg_10_0"/>
      <w:bookmarkStart w:id="1019" w:name="Tc_W68YwGnLaUeREnngAJ4A3A_8_8"/>
      <w:bookmarkStart w:id="1020" w:name="Tc_UHuFawJ6yk-LXUUWmzvHQw_8_5"/>
      <w:bookmarkStart w:id="1021" w:name="Tc_Gjonjw47v024QUHmwDQ0jA_8_2"/>
      <w:bookmarkStart w:id="1022" w:name="Tc_CwIHS1KSSEyhiJrrtGCEjw_8_0"/>
      <w:bookmarkStart w:id="1023" w:name="Tc_zXr8yExq1Uuv7mYr84JHCA_6_9"/>
      <w:bookmarkStart w:id="1024" w:name="Tc_d1H3jTQ3A0-uBf-TjPkx6Q_6_8"/>
      <w:bookmarkStart w:id="1025" w:name="Tc_HePOGSxcbk-woJiW-PvmLA_6_5"/>
      <w:bookmarkStart w:id="1026" w:name="Tc_xmi9vYmRxEy2WtGpCQ_q_g_6_2"/>
      <w:bookmarkStart w:id="1027" w:name="Tc_WAu0yRG8kkWKjeythW5hVw_6_0"/>
      <w:bookmarkStart w:id="1028" w:name="Tc_glWTmCKe70euRRWeHrTThw_5_0"/>
      <w:bookmarkStart w:id="1029" w:name="Tc_rOyHkrbNmEazd9S77gXj_A_4_2"/>
      <w:bookmarkStart w:id="1030" w:name="Tc_JyNFtDk2J0Spp5zO6JbA2w_3_8"/>
      <w:bookmarkStart w:id="1031" w:name="Tc_pDnuWFJc90ypIBId4VD2EQ_3_5"/>
      <w:bookmarkStart w:id="1032" w:name="Tc_1jwDNFCFck2-pcCFIZ0EMg_3_2"/>
      <w:bookmarkStart w:id="1033" w:name="Tc_BolKMrmcmEiBVS1zzFhlqg_2_8"/>
      <w:bookmarkStart w:id="1034" w:name="Tc_t0KmBfmhJU2Ekdeonsfz9g_2_5"/>
      <w:bookmarkStart w:id="1035" w:name="Tc_T1uhb76Sv0yCvmvjEMwNTg_1_5"/>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r>
        <w:rPr>
          <w:rFonts w:ascii="Times New Roman;Times;serif" w:hAnsi="Times New Roman;Times;serif"/>
          <w:b/>
          <w:sz w:val="20"/>
        </w:rPr>
        <w:t>Note 5 – Marketable securities:</w:t>
      </w:r>
    </w:p>
    <w:p>
      <w:pPr>
        <w:pStyle w:val="TextBody"/>
        <w:bidi w:val="0"/>
        <w:spacing w:before="0" w:after="0"/>
        <w:ind w:left="0" w:right="0" w:hanging="0"/>
        <w:jc w:val="left"/>
        <w:rPr/>
      </w:pPr>
      <w:r>
        <w:rPr/>
        <w:t>​</w:t>
      </w:r>
    </w:p>
    <w:tbl>
      <w:tblPr>
        <w:tblW w:w="5542" w:type="dxa"/>
        <w:jc w:val="left"/>
        <w:tblInd w:w="0" w:type="dxa"/>
        <w:tblLayout w:type="fixed"/>
        <w:tblCellMar>
          <w:top w:w="0" w:type="dxa"/>
          <w:left w:w="0" w:type="dxa"/>
          <w:bottom w:w="0" w:type="dxa"/>
          <w:right w:w="0" w:type="dxa"/>
        </w:tblCellMar>
      </w:tblPr>
      <w:tblGrid>
        <w:gridCol w:w="1801"/>
        <w:gridCol w:w="146"/>
        <w:gridCol w:w="459"/>
        <w:gridCol w:w="787"/>
        <w:gridCol w:w="146"/>
        <w:gridCol w:w="360"/>
        <w:gridCol w:w="616"/>
        <w:gridCol w:w="146"/>
        <w:gridCol w:w="378"/>
        <w:gridCol w:w="703"/>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143635" cy="175260"/>
                      <wp:effectExtent l="0" t="0" r="0" b="0"/>
                      <wp:wrapNone/>
                      <wp:docPr id="158" name="Frame158"/>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92710" cy="175260"/>
                      <wp:effectExtent l="0" t="0" r="0" b="0"/>
                      <wp:wrapNone/>
                      <wp:docPr id="159" name="Frame15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91465" cy="175260"/>
                      <wp:effectExtent l="0" t="0" r="0" b="0"/>
                      <wp:wrapNone/>
                      <wp:docPr id="160" name="Frame160"/>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99745" cy="175260"/>
                      <wp:effectExtent l="0" t="0" r="0" b="0"/>
                      <wp:wrapNone/>
                      <wp:docPr id="161" name="Frame161"/>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92710" cy="175260"/>
                      <wp:effectExtent l="0" t="0" r="0" b="0"/>
                      <wp:wrapNone/>
                      <wp:docPr id="162" name="Frame16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28600" cy="175260"/>
                      <wp:effectExtent l="0" t="0" r="0" b="0"/>
                      <wp:wrapNone/>
                      <wp:docPr id="163" name="Frame16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91160" cy="175260"/>
                      <wp:effectExtent l="0" t="0" r="0" b="0"/>
                      <wp:wrapNone/>
                      <wp:docPr id="164" name="Frame16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92710" cy="175260"/>
                      <wp:effectExtent l="0" t="0" r="0" b="0"/>
                      <wp:wrapNone/>
                      <wp:docPr id="165" name="Frame16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40030" cy="175260"/>
                      <wp:effectExtent l="0" t="0" r="0" b="0"/>
                      <wp:wrapNone/>
                      <wp:docPr id="166" name="Frame166"/>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46405" cy="175260"/>
                      <wp:effectExtent l="0" t="0" r="0" b="0"/>
                      <wp:wrapNone/>
                      <wp:docPr id="167" name="Frame167"/>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color w:val="0563C1"/>
              </w:rPr>
            </w:pPr>
            <w:r>
              <w:rPr>
                <w:color w:val="0563C1"/>
              </w:rPr>
              <w:t>​</w:t>
            </w:r>
          </w:p>
        </w:tc>
        <w:tc>
          <w:tcPr>
            <w:tcW w:w="146" w:type="dxa"/>
            <w:tcBorders/>
            <w:vAlign w:val="center"/>
          </w:tcPr>
          <w:p>
            <w:pPr>
              <w:pStyle w:val="TableContents"/>
              <w:bidi w:val="0"/>
              <w:spacing w:before="0" w:after="1"/>
              <w:ind w:left="0" w:right="0" w:hanging="0"/>
              <w:jc w:val="left"/>
              <w:rPr/>
            </w:pPr>
            <w:r>
              <w:rPr/>
              <w:t>​</w:t>
            </w:r>
          </w:p>
        </w:tc>
        <w:tc>
          <w:tcPr>
            <w:tcW w:w="459"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Cost or</w:t>
            </w:r>
          </w:p>
        </w:tc>
        <w:tc>
          <w:tcPr>
            <w:tcW w:w="14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left"/>
              <w:rPr/>
            </w:pPr>
            <w:r>
              <w:rPr/>
              <w:t>​</w:t>
            </w:r>
          </w:p>
        </w:tc>
      </w:tr>
      <w:tr>
        <w:trPr/>
        <w:tc>
          <w:tcPr>
            <w:tcW w:w="18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59"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amortized</w:t>
            </w:r>
          </w:p>
        </w:tc>
        <w:tc>
          <w:tcPr>
            <w:tcW w:w="1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Unrealized</w:t>
            </w:r>
          </w:p>
        </w:tc>
      </w:tr>
      <w:tr>
        <w:trPr/>
        <w:tc>
          <w:tcPr>
            <w:tcW w:w="18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Market value</w:t>
            </w:r>
          </w:p>
        </w:tc>
        <w:tc>
          <w:tcPr>
            <w:tcW w:w="146" w:type="dxa"/>
            <w:tcBorders/>
            <w:vAlign w:val="center"/>
          </w:tcPr>
          <w:p>
            <w:pPr>
              <w:pStyle w:val="TableContents"/>
              <w:bidi w:val="0"/>
              <w:spacing w:before="0" w:after="1"/>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cost</w:t>
            </w:r>
          </w:p>
        </w:tc>
        <w:tc>
          <w:tcPr>
            <w:tcW w:w="146"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gain, net</w:t>
            </w:r>
          </w:p>
        </w:tc>
      </w:tr>
      <w:tr>
        <w:trPr/>
        <w:tc>
          <w:tcPr>
            <w:tcW w:w="554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3595"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146" w:type="dxa"/>
            <w:tcBorders/>
            <w:shd w:fill="CCEEFF" w:val="clear"/>
            <w:vAlign w:val="center"/>
          </w:tcPr>
          <w:p>
            <w:pPr>
              <w:pStyle w:val="TableContents"/>
              <w:bidi w:val="0"/>
              <w:spacing w:before="0" w:after="1"/>
              <w:ind w:left="0" w:right="0" w:hanging="0"/>
              <w:jc w:val="left"/>
              <w:rPr/>
            </w:pPr>
            <w:r>
              <w:rPr/>
              <w:t> </w:t>
            </w:r>
          </w:p>
        </w:tc>
        <w:tc>
          <w:tcPr>
            <w:tcW w:w="459"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360"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378"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pPr>
            <w:r>
              <w:rPr/>
              <w:t>  ​</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46" w:type="dxa"/>
            <w:tcBorders/>
            <w:vAlign w:val="center"/>
          </w:tcPr>
          <w:p>
            <w:pPr>
              <w:pStyle w:val="TableContents"/>
              <w:bidi w:val="0"/>
              <w:spacing w:before="0" w:after="1"/>
              <w:ind w:left="0" w:right="0" w:hanging="0"/>
              <w:jc w:val="left"/>
              <w:rPr/>
            </w:pPr>
            <w:r>
              <w:rPr/>
              <w:t>​</w:t>
            </w:r>
          </w:p>
        </w:tc>
        <w:tc>
          <w:tcPr>
            <w:tcW w:w="45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146" w:type="dxa"/>
            <w:tcBorders/>
            <w:vAlign w:val="center"/>
          </w:tcPr>
          <w:p>
            <w:pPr>
              <w:pStyle w:val="TableContents"/>
              <w:bidi w:val="0"/>
              <w:spacing w:before="0" w:after="1"/>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146" w:type="dxa"/>
            <w:tcBorders/>
            <w:vAlign w:val="center"/>
          </w:tcPr>
          <w:p>
            <w:pPr>
              <w:pStyle w:val="TableContents"/>
              <w:bidi w:val="0"/>
              <w:spacing w:before="0" w:after="1"/>
              <w:ind w:left="0" w:right="0" w:hanging="0"/>
              <w:jc w:val="left"/>
              <w:rPr/>
            </w:pPr>
            <w:r>
              <w:rPr/>
              <w:t>​</w:t>
            </w:r>
          </w:p>
        </w:tc>
        <w:tc>
          <w:tcPr>
            <w:tcW w:w="3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180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459"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left"/>
              <w:rPr/>
            </w:pPr>
            <w:r>
              <w:rPr/>
              <w:t>​</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146" w:type="dxa"/>
            <w:tcBorders/>
            <w:vAlign w:val="center"/>
          </w:tcPr>
          <w:p>
            <w:pPr>
              <w:pStyle w:val="TableContents"/>
              <w:bidi w:val="0"/>
              <w:spacing w:before="0" w:after="1"/>
              <w:ind w:left="0" w:right="0" w:hanging="0"/>
              <w:jc w:val="left"/>
              <w:rPr/>
            </w:pPr>
            <w:r>
              <w:rPr/>
              <w:t>​</w:t>
            </w:r>
          </w:p>
        </w:tc>
        <w:tc>
          <w:tcPr>
            <w:tcW w:w="45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146" w:type="dxa"/>
            <w:tcBorders/>
            <w:vAlign w:val="center"/>
          </w:tcPr>
          <w:p>
            <w:pPr>
              <w:pStyle w:val="TableContents"/>
              <w:bidi w:val="0"/>
              <w:spacing w:before="0" w:after="1"/>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146" w:type="dxa"/>
            <w:tcBorders/>
            <w:vAlign w:val="center"/>
          </w:tcPr>
          <w:p>
            <w:pPr>
              <w:pStyle w:val="TableContents"/>
              <w:bidi w:val="0"/>
              <w:spacing w:before="0" w:after="1"/>
              <w:ind w:left="0" w:right="0" w:hanging="0"/>
              <w:jc w:val="left"/>
              <w:rPr/>
            </w:pPr>
            <w:r>
              <w:rPr/>
              <w:t>​</w:t>
            </w:r>
          </w:p>
        </w:tc>
        <w:tc>
          <w:tcPr>
            <w:tcW w:w="3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80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459"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pPr>
            <w:r>
              <w:rPr/>
              <w:t>​</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146" w:type="dxa"/>
            <w:tcBorders/>
            <w:vAlign w:val="center"/>
          </w:tcPr>
          <w:p>
            <w:pPr>
              <w:pStyle w:val="TableContents"/>
              <w:bidi w:val="0"/>
              <w:spacing w:before="0" w:after="1"/>
              <w:ind w:left="0" w:right="0" w:hanging="0"/>
              <w:jc w:val="left"/>
              <w:rPr/>
            </w:pPr>
            <w:r>
              <w:rPr/>
              <w:t>​</w:t>
            </w:r>
          </w:p>
        </w:tc>
        <w:tc>
          <w:tcPr>
            <w:tcW w:w="459" w:type="dxa"/>
            <w:tcBorders/>
            <w:vAlign w:val="center"/>
          </w:tcPr>
          <w:p>
            <w:pPr>
              <w:pStyle w:val="TableContents"/>
              <w:bidi w:val="0"/>
              <w:spacing w:before="0" w:after="1"/>
              <w:ind w:left="0" w:right="0" w:hanging="0"/>
              <w:jc w:val="left"/>
              <w:rPr/>
            </w:pPr>
            <w:r>
              <w:rPr/>
              <w:t> </w:t>
            </w:r>
          </w:p>
        </w:tc>
        <w:tc>
          <w:tcPr>
            <w:tcW w:w="787"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pPr>
            <w:r>
              <w:rPr/>
              <w:t>  ​</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46" w:type="dxa"/>
            <w:tcBorders/>
            <w:shd w:fill="CCEEFF" w:val="clear"/>
            <w:vAlign w:val="center"/>
          </w:tcPr>
          <w:p>
            <w:pPr>
              <w:pStyle w:val="TableContents"/>
              <w:bidi w:val="0"/>
              <w:spacing w:before="0" w:after="1"/>
              <w:ind w:left="0" w:right="0" w:hanging="0"/>
              <w:jc w:val="left"/>
              <w:rPr/>
            </w:pPr>
            <w:r>
              <w:rPr/>
              <w:t>​</w:t>
            </w:r>
          </w:p>
        </w:tc>
        <w:tc>
          <w:tcPr>
            <w:tcW w:w="4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w:t>
            </w:r>
          </w:p>
        </w:tc>
        <w:tc>
          <w:tcPr>
            <w:tcW w:w="146" w:type="dxa"/>
            <w:tcBorders/>
            <w:shd w:fill="CCEEFF" w:val="clear"/>
            <w:vAlign w:val="center"/>
          </w:tcPr>
          <w:p>
            <w:pPr>
              <w:pStyle w:val="TableContents"/>
              <w:bidi w:val="0"/>
              <w:spacing w:before="0" w:after="1"/>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w:t>
            </w:r>
          </w:p>
        </w:tc>
        <w:tc>
          <w:tcPr>
            <w:tcW w:w="146" w:type="dxa"/>
            <w:tcBorders/>
            <w:shd w:fill="CCEEFF" w:val="clear"/>
            <w:vAlign w:val="center"/>
          </w:tcPr>
          <w:p>
            <w:pPr>
              <w:pStyle w:val="TableContents"/>
              <w:bidi w:val="0"/>
              <w:spacing w:before="0" w:after="1"/>
              <w:ind w:left="0" w:right="0" w:hanging="0"/>
              <w:jc w:val="left"/>
              <w:rPr/>
            </w:pPr>
            <w:r>
              <w:rPr/>
              <w:t>​</w:t>
            </w:r>
          </w:p>
        </w:tc>
        <w:tc>
          <w:tcPr>
            <w:tcW w:w="3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8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59"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left"/>
              <w:rPr/>
            </w:pPr>
            <w:r>
              <w:rPr/>
              <w:t>​</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146" w:type="dxa"/>
            <w:tcBorders/>
            <w:shd w:fill="CCEEFF" w:val="clear"/>
            <w:vAlign w:val="center"/>
          </w:tcPr>
          <w:p>
            <w:pPr>
              <w:pStyle w:val="TableContents"/>
              <w:bidi w:val="0"/>
              <w:spacing w:before="0" w:after="1"/>
              <w:ind w:left="0" w:right="0" w:hanging="0"/>
              <w:jc w:val="left"/>
              <w:rPr/>
            </w:pPr>
            <w:r>
              <w:rPr/>
              <w:t>​</w:t>
            </w:r>
          </w:p>
        </w:tc>
        <w:tc>
          <w:tcPr>
            <w:tcW w:w="4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w:t>
            </w:r>
          </w:p>
        </w:tc>
        <w:tc>
          <w:tcPr>
            <w:tcW w:w="146" w:type="dxa"/>
            <w:tcBorders/>
            <w:shd w:fill="CCEEFF" w:val="clear"/>
            <w:vAlign w:val="center"/>
          </w:tcPr>
          <w:p>
            <w:pPr>
              <w:pStyle w:val="TableContents"/>
              <w:bidi w:val="0"/>
              <w:spacing w:before="0" w:after="1"/>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w:t>
            </w:r>
          </w:p>
        </w:tc>
        <w:tc>
          <w:tcPr>
            <w:tcW w:w="146" w:type="dxa"/>
            <w:tcBorders/>
            <w:shd w:fill="CCEEFF" w:val="clear"/>
            <w:vAlign w:val="center"/>
          </w:tcPr>
          <w:p>
            <w:pPr>
              <w:pStyle w:val="TableContents"/>
              <w:bidi w:val="0"/>
              <w:spacing w:before="0" w:after="1"/>
              <w:ind w:left="0" w:right="0" w:hanging="0"/>
              <w:jc w:val="left"/>
              <w:rPr/>
            </w:pPr>
            <w:r>
              <w:rPr/>
              <w:t>​</w:t>
            </w:r>
          </w:p>
        </w:tc>
        <w:tc>
          <w:tcPr>
            <w:tcW w:w="3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w:t>
            </w:r>
          </w:p>
        </w:tc>
      </w:tr>
    </w:tbl>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69">
                <wp:simplePos x="0" y="0"/>
                <wp:positionH relativeFrom="page">
                  <wp:posOffset>0</wp:posOffset>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marketable securities consist of investments in marketable equity and debt securities. Our marketable equity securities are carried at fair value using quoted market prices, primarily Level 1 inputs as defined by ASC Topic 820, </w:t>
      </w:r>
      <w:r>
        <w:rPr>
          <w:rFonts w:ascii="Times New Roman;Times;serif" w:hAnsi="Times New Roman;Times;serif"/>
          <w:i/>
          <w:sz w:val="20"/>
        </w:rPr>
        <w:t>Fair Value Measurements and Disclosures</w:t>
      </w:r>
      <w:r>
        <w:rPr>
          <w:rFonts w:ascii="Times New Roman;Times;serif" w:hAnsi="Times New Roman;Times;serif"/>
          <w:sz w:val="20"/>
        </w:rPr>
        <w:t>, with any unrealized gains or losses on the securities recognized in other income, net on our Condensed Consolidated Statements of Income. The fair value of our marketable debt securities is generally determined using Level 2 inputs because although these securities are traded in many cases, the market is not active and the quarter-end valuation is generally based on the last trade of the quarter, which may be several days prior to quarter end. We accumulate unrealized gains and losses on marketable debt securities as part of accumulated other comprehensive income (loss), net of related deferred income taxes. See Note 17.</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200" w:after="160"/>
        <w:ind w:left="0" w:right="0" w:hanging="0"/>
        <w:jc w:val="left"/>
        <w:rPr>
          <w:rFonts w:ascii="Times New Roman;Times;serif" w:hAnsi="Times New Roman;Times;serif"/>
          <w:b/>
          <w:sz w:val="20"/>
        </w:rPr>
      </w:pPr>
      <w:bookmarkStart w:id="1036" w:name="Tc_XV1961oTj0yJTocf4nDbBg_11_5"/>
      <w:bookmarkStart w:id="1037" w:name="Tc_ldOyzCxDNkunauerDqJtsw_11_2"/>
      <w:bookmarkStart w:id="1038" w:name="Tc_hX8C0SQ6yUqNCsPnFE0mFg_11_0"/>
      <w:bookmarkStart w:id="1039" w:name="Tc_FWSI2sGf7kGWYLrGgwly7g_10_0"/>
      <w:bookmarkStart w:id="1040" w:name="Tc_0MIDm-wb-EWJN6LilD3aDQ_9_3"/>
      <w:bookmarkStart w:id="1041" w:name="Tc_1atcOF-930id1FrcCYsyIQ_9_0"/>
      <w:bookmarkStart w:id="1042" w:name="Tc_i9GUv2cSl0WocxVGroMndA_8_0"/>
      <w:bookmarkStart w:id="1043" w:name="Tc_kkF3w1ZGp0ukAp2dgcCKaw_7_0"/>
      <w:bookmarkStart w:id="1044" w:name="Tc_r8xk_ZhjOkeLEiZJLUISzA_6_0"/>
      <w:bookmarkStart w:id="1045" w:name="Tc_3AO1Fx6j206II7nIgJqIbA_5_0"/>
      <w:bookmarkStart w:id="1046" w:name="Tc_nUqnxks74UW0Wy1gmBSyHA_4_5"/>
      <w:bookmarkStart w:id="1047" w:name="Tc_kWKTPKs9gk2TALKtCI54Ig_4_2"/>
      <w:bookmarkStart w:id="1048" w:name="Tc_cwrfxXK1OkykyNSRalAzWQ_4_0"/>
      <w:bookmarkStart w:id="1049" w:name="Tc_X515iulbs0-kLb6n7BANhQ_3_2"/>
      <w:bookmarkStart w:id="1050" w:name="Tc_dSqRuYcTL0WwPQMHnch30w_2_5"/>
      <w:bookmarkStart w:id="1051" w:name="Tc_tRYpa63dx0ObFQalSs-OLQ_2_2"/>
      <w:bookmarkStart w:id="1052" w:name="Tc_CqIg8vZChUWI0tm2GJipAA_1_5"/>
      <w:bookmarkStart w:id="1053" w:name="Tc_Snoco0xRX0aPFoVXnv21KQ_1_2"/>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r>
        <w:rPr>
          <w:rFonts w:ascii="Times New Roman;Times;serif" w:hAnsi="Times New Roman;Times;serif"/>
          <w:b/>
          <w:sz w:val="20"/>
        </w:rPr>
        <w:t>Note 6 – Other noncurrent assets:</w:t>
      </w:r>
    </w:p>
    <w:p>
      <w:pPr>
        <w:pStyle w:val="TextBody"/>
        <w:bidi w:val="0"/>
        <w:spacing w:before="0" w:after="0"/>
        <w:ind w:left="0" w:right="0" w:hanging="0"/>
        <w:jc w:val="left"/>
        <w:rPr/>
      </w:pPr>
      <w:r>
        <w:rPr/>
        <w:t>​</w:t>
      </w:r>
    </w:p>
    <w:tbl>
      <w:tblPr>
        <w:tblW w:w="5988" w:type="dxa"/>
        <w:jc w:val="left"/>
        <w:tblInd w:w="0" w:type="dxa"/>
        <w:tblLayout w:type="fixed"/>
        <w:tblCellMar>
          <w:top w:w="0" w:type="dxa"/>
          <w:left w:w="0" w:type="dxa"/>
          <w:bottom w:w="0" w:type="dxa"/>
          <w:right w:w="0" w:type="dxa"/>
        </w:tblCellMar>
      </w:tblPr>
      <w:tblGrid>
        <w:gridCol w:w="3091"/>
        <w:gridCol w:w="346"/>
        <w:gridCol w:w="405"/>
        <w:gridCol w:w="900"/>
        <w:gridCol w:w="346"/>
        <w:gridCol w:w="242"/>
        <w:gridCol w:w="658"/>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962785" cy="175260"/>
                      <wp:effectExtent l="0" t="0" r="0" b="0"/>
                      <wp:wrapNone/>
                      <wp:docPr id="169" name="Frame169"/>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57175" cy="175260"/>
                      <wp:effectExtent l="0" t="0" r="0" b="0"/>
                      <wp:wrapNone/>
                      <wp:docPr id="171" name="Frame171"/>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71500" cy="175260"/>
                      <wp:effectExtent l="0" t="0" r="0" b="0"/>
                      <wp:wrapNone/>
                      <wp:docPr id="172" name="Frame172"/>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53670" cy="175260"/>
                      <wp:effectExtent l="0" t="0" r="0" b="0"/>
                      <wp:wrapNone/>
                      <wp:docPr id="174" name="Frame17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17830" cy="175260"/>
                      <wp:effectExtent l="0" t="0" r="0" b="0"/>
                      <wp:wrapNone/>
                      <wp:docPr id="175" name="Frame175"/>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  ​ ​ ​</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98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51"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20.2</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IBNR receivables</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16.5</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Pension asset</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18.0</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 from affiliate:</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Contran - income taxes</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24.4</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4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87.2</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00"/>
        <w:ind w:left="0" w:right="0" w:hanging="0"/>
        <w:jc w:val="left"/>
        <w:rPr>
          <w:rFonts w:ascii="Times New Roman;Times;serif" w:hAnsi="Times New Roman;Times;serif"/>
          <w:b/>
          <w:sz w:val="20"/>
        </w:rPr>
      </w:pPr>
      <w:bookmarkStart w:id="1054" w:name="Tc_Onuf9a2HCUS3E8Ph46AfVg_16_5"/>
      <w:bookmarkStart w:id="1055" w:name="Tc_jRW2zGINq0OiTAA8wd1imA_16_2"/>
      <w:bookmarkStart w:id="1056" w:name="Tc_DFPO5g7RFEG4gp4diV9aow_16_0"/>
      <w:bookmarkStart w:id="1057" w:name="Tc_8dtqrBEJ9EyDIxlrCARA0w_15_0"/>
      <w:bookmarkStart w:id="1058" w:name="Tc_-7nLmJsOXUO21pUe3ldLuA_14_0"/>
      <w:bookmarkStart w:id="1059" w:name="Tc_pfoXTrj4UUO9xT-jQi2WMQ_13_0"/>
      <w:bookmarkStart w:id="1060" w:name="Tc_qQljiSFoGECRJfoH1pto7Q_12_0"/>
      <w:bookmarkStart w:id="1061" w:name="Tc_h5brGau_rk6wgtqUdDPr6w_11_0"/>
      <w:bookmarkStart w:id="1062" w:name="Tc_zlDrXTCyBkW5un7HxKTZCQ_10_3"/>
      <w:bookmarkStart w:id="1063" w:name="Tc_zWAbCWFdbE2Avb1hR9e4ZQ_10_0"/>
      <w:bookmarkStart w:id="1064" w:name="Tc_DDM1MHfwVk6L68haX24YzQ_9_0"/>
      <w:bookmarkStart w:id="1065" w:name="Tc_65SO1a9yQEGHiJWFb3sQxg_8_0"/>
      <w:bookmarkStart w:id="1066" w:name="Tc_75JknnTE1k-KBQmBCJdFtg_7_0"/>
      <w:bookmarkStart w:id="1067" w:name="Tc_Qp89_3t_eEmB7z_mL-dOow_6_0"/>
      <w:bookmarkStart w:id="1068" w:name="Tc_bHYP73Bu-U-HtWqK8Ljruw_5_5"/>
      <w:bookmarkStart w:id="1069" w:name="Tc_Xg38dBfScEu30kcC3YBMpw_5_2"/>
      <w:bookmarkStart w:id="1070" w:name="Tc_N5xHNOQ1bE-_d7gjksyNGQ_5_0"/>
      <w:bookmarkStart w:id="1071" w:name="Tc_X8GjkLDOm0SPJFf16UOHNw_4_0"/>
      <w:bookmarkStart w:id="1072" w:name="Tc_4-FvLkJsUkuE29JV32x29A_3_2"/>
      <w:bookmarkStart w:id="1073" w:name="Tc_LTsDFO9OxE6RO0z0oKCmKg_2_5"/>
      <w:bookmarkStart w:id="1074" w:name="Tc_sn72q_WyekO6Fzj4c5R-aw_2_2"/>
      <w:bookmarkStart w:id="1075" w:name="Tc_hGYHzIUikUGsGkbOhWHyIw_1_5"/>
      <w:bookmarkStart w:id="1076" w:name="Tc_OyT65CWaZESxSMjf7lb4zA_1_2"/>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r>
        <w:rPr>
          <w:rFonts w:ascii="Times New Roman;Times;serif" w:hAnsi="Times New Roman;Times;serif"/>
          <w:b/>
          <w:sz w:val="20"/>
        </w:rPr>
        <w:t>Note 7 – Long-term debt:</w:t>
      </w:r>
    </w:p>
    <w:p>
      <w:pPr>
        <w:pStyle w:val="TextBody"/>
        <w:bidi w:val="0"/>
        <w:spacing w:before="0" w:after="0"/>
        <w:ind w:left="0" w:right="0" w:hanging="0"/>
        <w:jc w:val="left"/>
        <w:rPr/>
      </w:pPr>
      <w:r>
        <w:rPr/>
        <w:t>​</w:t>
      </w:r>
    </w:p>
    <w:tbl>
      <w:tblPr>
        <w:tblW w:w="8238" w:type="dxa"/>
        <w:jc w:val="left"/>
        <w:tblInd w:w="0" w:type="dxa"/>
        <w:tblLayout w:type="fixed"/>
        <w:tblCellMar>
          <w:top w:w="0" w:type="dxa"/>
          <w:left w:w="0" w:type="dxa"/>
          <w:bottom w:w="0" w:type="dxa"/>
          <w:right w:w="0" w:type="dxa"/>
        </w:tblCellMar>
      </w:tblPr>
      <w:tblGrid>
        <w:gridCol w:w="5341"/>
        <w:gridCol w:w="346"/>
        <w:gridCol w:w="352"/>
        <w:gridCol w:w="953"/>
        <w:gridCol w:w="346"/>
        <w:gridCol w:w="214"/>
        <w:gridCol w:w="686"/>
      </w:tblGrid>
      <w:tr>
        <w:trPr/>
        <w:tc>
          <w:tcPr>
            <w:tcW w:w="5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391535" cy="175260"/>
                      <wp:effectExtent l="0" t="0" r="0" b="0"/>
                      <wp:wrapNone/>
                      <wp:docPr id="176" name="Frame176"/>
                      <a:graphic xmlns:a="http://schemas.openxmlformats.org/drawingml/2006/main">
                        <a:graphicData uri="http://schemas.microsoft.com/office/word/2010/wordprocessingShape">
                          <wps:wsp>
                            <wps:cNvSpPr txBox="1"/>
                            <wps:spPr>
                              <a:xfrm>
                                <a:off x="0" y="0"/>
                                <a:ext cx="3391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3520" cy="175260"/>
                      <wp:effectExtent l="0" t="0" r="0" b="0"/>
                      <wp:wrapNone/>
                      <wp:docPr id="178" name="Frame17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05155" cy="175260"/>
                      <wp:effectExtent l="0" t="0" r="0" b="0"/>
                      <wp:wrapNone/>
                      <wp:docPr id="179" name="Frame179"/>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5890" cy="175260"/>
                      <wp:effectExtent l="0" t="0" r="0" b="0"/>
                      <wp:wrapNone/>
                      <wp:docPr id="181" name="Frame181"/>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35610" cy="175260"/>
                      <wp:effectExtent l="0" t="0" r="0" b="0"/>
                      <wp:wrapNone/>
                      <wp:docPr id="182" name="Frame182"/>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823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51"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Valhi:</w:t>
            </w:r>
          </w:p>
        </w:tc>
        <w:tc>
          <w:tcPr>
            <w:tcW w:w="346" w:type="dxa"/>
            <w:tcBorders/>
            <w:shd w:fill="CCEEFF" w:val="clear"/>
            <w:vAlign w:val="center"/>
          </w:tcPr>
          <w:p>
            <w:pPr>
              <w:pStyle w:val="TableContents"/>
              <w:bidi w:val="0"/>
              <w:spacing w:before="0" w:after="1"/>
              <w:ind w:left="0" w:right="0" w:hanging="0"/>
              <w:jc w:val="left"/>
              <w:rPr/>
            </w:pPr>
            <w:r>
              <w:rPr/>
              <w:t> </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  ​</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Contran credit facility</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Subsidiary debt:</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pPr>
            <w:r>
              <w:rPr/>
              <w:t>  ​</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pPr>
            <w:r>
              <w:rPr/>
              <w:t>  ​</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 International, Inc. 9.50% Senior Secured Notes due 2029</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503.7</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487.7</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Subordinated, Unsecured Term Loan from Contran</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53.7</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28.2</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LandWell:</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pPr>
            <w:r>
              <w:rPr/>
              <w:t>  ​</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payable to Western Alliance Business Trust</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subsidiary debt</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568.1</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579.9</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591.7</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587.5</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maturities</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590.9</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586.7</w:t>
            </w:r>
          </w:p>
        </w:tc>
      </w:tr>
    </w:tbl>
    <w:p>
      <w:pPr>
        <w:pStyle w:val="TextBody"/>
        <w:bidi w:val="0"/>
        <w:spacing w:before="0" w:after="0"/>
        <w:ind w:left="0" w:right="0" w:hanging="0"/>
        <w:jc w:val="left"/>
        <w:rPr/>
      </w:pPr>
      <w:r>
        <w:rPr/>
        <w:t>​</w:t>
      </w:r>
    </w:p>
    <w:p>
      <w:pPr>
        <w:pStyle w:val="TextBody"/>
        <w:bidi w:val="0"/>
        <w:spacing w:before="200" w:after="240"/>
        <w:ind w:left="0" w:right="0" w:firstLine="720"/>
        <w:jc w:val="both"/>
        <w:rPr>
          <w:rFonts w:ascii="Times New Roman;Times;serif" w:hAnsi="Times New Roman;Times;serif"/>
          <w:sz w:val="20"/>
        </w:rPr>
      </w:pPr>
      <w:r>
        <w:rPr>
          <w:rFonts w:ascii="Times New Roman;Times;serif" w:hAnsi="Times New Roman;Times;serif"/>
          <w:b/>
          <w:i/>
          <w:sz w:val="20"/>
        </w:rPr>
        <w:t>Valhi</w:t>
      </w:r>
      <w:r>
        <w:rPr>
          <w:rFonts w:ascii="Times New Roman;Times;serif" w:hAnsi="Times New Roman;Times;serif"/>
          <w:sz w:val="20"/>
        </w:rPr>
        <w:t xml:space="preserve"> – </w:t>
      </w:r>
      <w:r>
        <w:rPr>
          <w:rFonts w:ascii="Times New Roman;Times;serif" w:hAnsi="Times New Roman;Times;serif"/>
          <w:i/>
          <w:sz w:val="20"/>
        </w:rPr>
        <w:t>Contran credit facility</w:t>
      </w:r>
      <w:r>
        <w:rPr>
          <w:rFonts w:ascii="Times New Roman;Times;serif" w:hAnsi="Times New Roman;Times;serif"/>
          <w:sz w:val="20"/>
        </w:rPr>
        <w:t> – During the first six months of 2026, we had no borrowings and repaid $16.0 million under this facility. The average interest rate on the credit facility for the six months ended June 30, 2026 was 7.75%. At June 30, 2026, the interest rate was 7.75% and $117.4 million was available for borrowing under this facility.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Kronos </w:t>
      </w:r>
      <w:r>
        <w:rPr>
          <w:rFonts w:ascii="Times New Roman;Times;serif" w:hAnsi="Times New Roman;Times;serif"/>
          <w:sz w:val="20"/>
        </w:rPr>
        <w:t xml:space="preserve">– </w:t>
      </w:r>
      <w:r>
        <w:rPr>
          <w:rFonts w:ascii="Times New Roman;Times;serif" w:hAnsi="Times New Roman;Times;serif"/>
          <w:i/>
          <w:sz w:val="20"/>
        </w:rPr>
        <w:t>9.50%</w:t>
      </w:r>
      <w:r>
        <w:rPr>
          <w:rFonts w:ascii="Times New Roman;Times;serif" w:hAnsi="Times New Roman;Times;serif"/>
          <w:sz w:val="20"/>
        </w:rPr>
        <w:t> </w:t>
      </w:r>
      <w:r>
        <w:rPr>
          <w:rFonts w:ascii="Times New Roman;Times;serif" w:hAnsi="Times New Roman;Times;serif"/>
          <w:i/>
          <w:sz w:val="20"/>
        </w:rPr>
        <w:t>Senior Secured Notes due 2029</w:t>
      </w:r>
      <w:r>
        <w:rPr>
          <w:rFonts w:ascii="Times New Roman;Times;serif" w:hAnsi="Times New Roman;Times;serif"/>
          <w:sz w:val="20"/>
        </w:rPr>
        <w:t xml:space="preserve"> – At June 30, 2026, the carrying value of the 9.50% Senior Secured Notes due 2029 (€426.174 million aggregate principal amount outstanding) is stated net of $8.0 million of unamortized premium and $5.7 million of unamortized debt issuance costs (at December 31, 2025 the amounts were $9.0 million and $6.9 million,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Revolving credit facility (the “Global Revolver”) – </w:t>
      </w:r>
      <w:r>
        <w:rPr>
          <w:rFonts w:ascii="Times New Roman;Times;serif" w:hAnsi="Times New Roman;Times;serif"/>
          <w:sz w:val="20"/>
        </w:rPr>
        <w:t>During the first six months of 2026, Kronos borrowed $280.2 million and repaid $252.0 million under its $350 million Global Revolver. The average interest rate on outstanding borrowings under this facility during the six months ended June 30, 2026 was 4.9%. At June 30, 2026, $28.2 million was outstanding under its Global Revolver and the average interest rate on outstanding borrowings was 5.3%. At June 30, 2026, Kronos had borrowing availability of approximately $261 million less any amounts outstanding under this facility.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Other</w:t>
      </w:r>
      <w:r>
        <w:rPr>
          <w:rFonts w:ascii="Times New Roman;Times;serif" w:hAnsi="Times New Roman;Times;serif"/>
          <w:sz w:val="20"/>
        </w:rPr>
        <w:t> – We are in compliance with all of our debt covenants at June 30, 2026.</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84">
                <wp:simplePos x="0" y="0"/>
                <wp:positionH relativeFrom="page">
                  <wp:posOffset>0</wp:posOffset>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both"/>
        <w:rPr>
          <w:rFonts w:ascii="Times New Roman;Times;serif" w:hAnsi="Times New Roman;Times;serif"/>
          <w:b/>
          <w:sz w:val="20"/>
        </w:rPr>
      </w:pPr>
      <w:bookmarkStart w:id="1077" w:name="Tc_uIdNKZLPhkazCKEjU1v9zA_21_5"/>
      <w:bookmarkStart w:id="1078" w:name="Tc_Z0rdnOIbpESUhZDAwUZ1SQ_21_2"/>
      <w:bookmarkStart w:id="1079" w:name="Tc_bB0RQIia0k-YVFe25cVlzA_21_0"/>
      <w:bookmarkStart w:id="1080" w:name="Tc_-Pi0JQbVZ0KIWcsXH5W6bA_20_0"/>
      <w:bookmarkStart w:id="1081" w:name="Tc_O3zUKj0hk060zD7Y2dDbUA_19_0"/>
      <w:bookmarkStart w:id="1082" w:name="Tc_LR1wvG3olUaHdePXrP_4cg_18_0"/>
      <w:bookmarkStart w:id="1083" w:name="Tc_R80ANOoTQ02o1AMQJtoHwQ_16_0"/>
      <w:bookmarkStart w:id="1084" w:name="Tc_uctWhVxJVkWFP_-Tuv12WA_15_0"/>
      <w:bookmarkStart w:id="1085" w:name="Tc_8KGSqX7xVEGEc9-O4QKH9Q_14_0"/>
      <w:bookmarkStart w:id="1086" w:name="Tc_QTFytE5yEEOfRkrpYy8YsA_13_0"/>
      <w:bookmarkStart w:id="1087" w:name="Tc_NpFg1ovOZkW2KZBFJRoCZg_12_0"/>
      <w:bookmarkStart w:id="1088" w:name="Tc_Zko_ua3qlEqOjB9bt9z5Qg_11_0"/>
      <w:bookmarkStart w:id="1089" w:name="Tc_09t9P0Hp20-r7TsIEkP3YA_10_0"/>
      <w:bookmarkStart w:id="1090" w:name="Tc_7EsvA4U47UOvkVvli23Iew_9_0"/>
      <w:bookmarkStart w:id="1091" w:name="Tc_lVbDQZYf4U6IPzIDGrO1RA_8_0"/>
      <w:bookmarkStart w:id="1092" w:name="Tc_p0qz2pG9Y0-HXhX_JhTZ7w_7_0"/>
      <w:bookmarkStart w:id="1093" w:name="Tc_oWEsHhsVP0W5mZ1niSUenA_6_0"/>
      <w:bookmarkStart w:id="1094" w:name="Tc__yawRoe1LEyAYa-CRzAGxA_5_5"/>
      <w:bookmarkStart w:id="1095" w:name="Tc_9yCKFqZrvEKwuQugjJKxVw_5_2"/>
      <w:bookmarkStart w:id="1096" w:name="Tc_4f3o3OqsekCYRIfmcf8vDQ_5_0"/>
      <w:bookmarkStart w:id="1097" w:name="Tc_IB9qB6y6R0yv6iW8zlUiMw_4_0"/>
      <w:bookmarkStart w:id="1098" w:name="Tc_OreP8leD_EC4u4Ol5RgyNA_3_2"/>
      <w:bookmarkStart w:id="1099" w:name="Tc_m0-mI2a3Q0yzApOaO3TF1w_2_5"/>
      <w:bookmarkStart w:id="1100" w:name="Tc_Gu1AGBMBok2VLyMXd9ZL0w_2_2"/>
      <w:bookmarkStart w:id="1101" w:name="Tc_tTuBh6V7GUGaD3QUTN89Yg_1_5"/>
      <w:bookmarkStart w:id="1102" w:name="Tc_GgTYGjNJYk6q5ap63V3Hig_1_2"/>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r>
        <w:rPr>
          <w:rFonts w:ascii="Times New Roman;Times;serif" w:hAnsi="Times New Roman;Times;serif"/>
          <w:b/>
          <w:sz w:val="20"/>
        </w:rPr>
        <w:t>Note 8 – Accounts payable and accrued liabilities:</w:t>
      </w:r>
    </w:p>
    <w:p>
      <w:pPr>
        <w:pStyle w:val="TextBody"/>
        <w:bidi w:val="0"/>
        <w:spacing w:before="0" w:after="0"/>
        <w:ind w:left="0" w:right="0" w:hanging="0"/>
        <w:jc w:val="left"/>
        <w:rPr/>
      </w:pPr>
      <w:r>
        <w:rPr/>
        <w:t>​</w:t>
      </w:r>
    </w:p>
    <w:tbl>
      <w:tblPr>
        <w:tblW w:w="6903" w:type="dxa"/>
        <w:jc w:val="left"/>
        <w:tblInd w:w="0" w:type="dxa"/>
        <w:tblLayout w:type="fixed"/>
        <w:tblCellMar>
          <w:top w:w="0" w:type="dxa"/>
          <w:left w:w="0" w:type="dxa"/>
          <w:bottom w:w="0" w:type="dxa"/>
          <w:right w:w="0" w:type="dxa"/>
        </w:tblCellMar>
      </w:tblPr>
      <w:tblGrid>
        <w:gridCol w:w="4006"/>
        <w:gridCol w:w="346"/>
        <w:gridCol w:w="352"/>
        <w:gridCol w:w="953"/>
        <w:gridCol w:w="346"/>
        <w:gridCol w:w="214"/>
        <w:gridCol w:w="68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543810" cy="175260"/>
                      <wp:effectExtent l="0" t="0" r="0" b="0"/>
                      <wp:wrapNone/>
                      <wp:docPr id="184" name="Frame184"/>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23520" cy="175260"/>
                      <wp:effectExtent l="0" t="0" r="0" b="0"/>
                      <wp:wrapNone/>
                      <wp:docPr id="186" name="Frame186"/>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05155" cy="175260"/>
                      <wp:effectExtent l="0" t="0" r="0" b="0"/>
                      <wp:wrapNone/>
                      <wp:docPr id="187" name="Frame187"/>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5890" cy="175260"/>
                      <wp:effectExtent l="0" t="0" r="0" b="0"/>
                      <wp:wrapNone/>
                      <wp:docPr id="189" name="Frame18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5610" cy="175260"/>
                      <wp:effectExtent l="0" t="0" r="0" b="0"/>
                      <wp:wrapNone/>
                      <wp:docPr id="190" name="Frame19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90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51"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 </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  ​</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224.0</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172.5</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BMI/LandWell</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Distributions payable to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179.2</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Payables to affiliates: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Contran - other</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35.9</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26.3</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23.4</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sales discounts and rebates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severance cost</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environmental</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13.9</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50.9</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434.1</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355.7</w:t>
            </w:r>
          </w:p>
        </w:tc>
      </w:tr>
    </w:tbl>
    <w:p>
      <w:pPr>
        <w:pStyle w:val="TextBody"/>
        <w:bidi w:val="0"/>
        <w:spacing w:before="0" w:after="240"/>
        <w:ind w:left="0" w:right="0" w:firstLine="720"/>
        <w:jc w:val="both"/>
        <w:rPr/>
      </w:pPr>
      <w:r>
        <w:rPr/>
        <w:t>​</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See Note 18 for additional information related to accrued severance costs.</w:t>
      </w:r>
    </w:p>
    <w:p>
      <w:pPr>
        <w:pStyle w:val="TextBody"/>
        <w:bidi w:val="0"/>
        <w:spacing w:before="240" w:after="240"/>
        <w:ind w:left="0" w:right="0" w:hanging="0"/>
        <w:jc w:val="left"/>
        <w:rPr>
          <w:rFonts w:ascii="Times New Roman;Times;serif" w:hAnsi="Times New Roman;Times;serif"/>
          <w:b/>
          <w:sz w:val="20"/>
        </w:rPr>
      </w:pPr>
      <w:bookmarkStart w:id="1103" w:name="Tc_D_gzzxI460m-xy3udgee7Q_13_5"/>
      <w:bookmarkStart w:id="1104" w:name="Tc_RFRmPAFnWU6dTw151uajRA_13_2"/>
      <w:bookmarkStart w:id="1105" w:name="Tc_IuJ1_a4oNEO87Y9UQrHZcw_13_0"/>
      <w:bookmarkStart w:id="1106" w:name="Tc_XtteCabcVEayRMBnVKv4Lw_12_0"/>
      <w:bookmarkStart w:id="1107" w:name="Tc_l3tjn3aKrEGuO2llNqiCwA_11_0"/>
      <w:bookmarkStart w:id="1108" w:name="Tc_u1QIKJpRCkqQJApo4SeGDg_10_3"/>
      <w:bookmarkStart w:id="1109" w:name="Tc_sRj_cWO3rEq2wm6vqcKj1g_10_0"/>
      <w:bookmarkStart w:id="1110" w:name="Tc_Wn0hff50vkeAxXYXRa2cMw_9_0"/>
      <w:bookmarkStart w:id="1111" w:name="Tc_MVG6w8AhRk2ELnJHH4qIeg_8_0"/>
      <w:bookmarkStart w:id="1112" w:name="Tc_qqrjaDJ_JEODdzqXOwtzsw_6_0"/>
      <w:bookmarkStart w:id="1113" w:name="Tc_J056VISWQUCKozNkv9tFLg_5_0"/>
      <w:bookmarkStart w:id="1114" w:name="Tc_Ln3DUNG4m0q07oShRMxuLg_4_5"/>
      <w:bookmarkStart w:id="1115" w:name="Tc__Mr0IKcLKUaJ4cqGqUYMiQ_4_2"/>
      <w:bookmarkStart w:id="1116" w:name="Tc_rEv2hGcHRkCEOC7er1udXA_4_0"/>
      <w:bookmarkStart w:id="1117" w:name="Tc_rKkvDi3WbESnCq6F1nEQ3Q_3_2"/>
      <w:bookmarkStart w:id="1118" w:name="Tc_bK982dQHS0uS4NwBAWuPXA_2_5"/>
      <w:bookmarkStart w:id="1119" w:name="Tc_U1bBZR5vhE6ZdZGmas0MlA_2_2"/>
      <w:bookmarkStart w:id="1120" w:name="Tc_teR6USXtY0eddvNq7qJVNQ_1_5"/>
      <w:bookmarkStart w:id="1121" w:name="Tc_fq62N0_nOEO19OxmPcmfeQ_1_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r>
        <w:rPr>
          <w:rFonts w:ascii="Times New Roman;Times;serif" w:hAnsi="Times New Roman;Times;serif"/>
          <w:b/>
          <w:sz w:val="20"/>
        </w:rPr>
        <w:t>Note 9 – Other noncurrent liabilities:</w:t>
      </w:r>
    </w:p>
    <w:p>
      <w:pPr>
        <w:pStyle w:val="TextBody"/>
        <w:bidi w:val="0"/>
        <w:spacing w:before="0" w:after="0"/>
        <w:ind w:left="0" w:right="0" w:hanging="0"/>
        <w:jc w:val="left"/>
        <w:rPr/>
      </w:pPr>
      <w:r>
        <w:rPr/>
        <w:t>​</w:t>
      </w:r>
    </w:p>
    <w:tbl>
      <w:tblPr>
        <w:tblW w:w="5493" w:type="dxa"/>
        <w:jc w:val="left"/>
        <w:tblInd w:w="0" w:type="dxa"/>
        <w:tblLayout w:type="fixed"/>
        <w:tblCellMar>
          <w:top w:w="0" w:type="dxa"/>
          <w:left w:w="0" w:type="dxa"/>
          <w:bottom w:w="0" w:type="dxa"/>
          <w:right w:w="0" w:type="dxa"/>
        </w:tblCellMar>
      </w:tblPr>
      <w:tblGrid>
        <w:gridCol w:w="2596"/>
        <w:gridCol w:w="346"/>
        <w:gridCol w:w="405"/>
        <w:gridCol w:w="900"/>
        <w:gridCol w:w="346"/>
        <w:gridCol w:w="242"/>
        <w:gridCol w:w="658"/>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648460" cy="175260"/>
                      <wp:effectExtent l="0" t="0" r="0" b="0"/>
                      <wp:wrapNone/>
                      <wp:docPr id="191" name="Frame19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57175" cy="175260"/>
                      <wp:effectExtent l="0" t="0" r="0" b="0"/>
                      <wp:wrapNone/>
                      <wp:docPr id="193" name="Frame193"/>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71500" cy="175260"/>
                      <wp:effectExtent l="0" t="0" r="0" b="0"/>
                      <wp:wrapNone/>
                      <wp:docPr id="194" name="Frame194"/>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53670" cy="175260"/>
                      <wp:effectExtent l="0" t="0" r="0" b="0"/>
                      <wp:wrapNone/>
                      <wp:docPr id="196" name="Frame19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17830" cy="175260"/>
                      <wp:effectExtent l="0" t="0" r="0" b="0"/>
                      <wp:wrapNone/>
                      <wp:docPr id="197" name="Frame197"/>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  ​ ​ ​</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49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51"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retirement obligations</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 claims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17.9</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postretirement benefits</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Uncertain tax positions</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4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81.3</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Note 13 for additional information related to the uncertain tax positions.</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99">
                <wp:simplePos x="0" y="0"/>
                <wp:positionH relativeFrom="page">
                  <wp:posOffset>0</wp:posOffset>
                </wp:positionH>
                <wp:positionV relativeFrom="line">
                  <wp:posOffset>635</wp:posOffset>
                </wp:positionV>
                <wp:extent cx="6480175" cy="175260"/>
                <wp:effectExtent l="0" t="0" r="0" b="0"/>
                <wp:wrapNone/>
                <wp:docPr id="198"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bookmarkStart w:id="1122" w:name="Tc_bo3M99clzk6eM1fg1mHqKg_8_11"/>
      <w:bookmarkStart w:id="1123" w:name="Tc_ILt5G9HdgUyKPD80LBv_vA_8_8"/>
      <w:bookmarkStart w:id="1124" w:name="Tc_wEdiIuNiB0-llBv1t3dcwg_8_5"/>
      <w:bookmarkStart w:id="1125" w:name="Tc_qduqqqgvakioFhH-kcfaHQ_8_2"/>
      <w:bookmarkStart w:id="1126" w:name="Tc_fa1gqEOc5kaeTsDdEzA99g_8_0"/>
      <w:bookmarkStart w:id="1127" w:name="Tc_ApN_CElHzUS9DwsATpBy6Q_7_0"/>
      <w:bookmarkStart w:id="1128" w:name="Tc_hQF60ap9KECuOzdBwd-oBw_6_11"/>
      <w:bookmarkStart w:id="1129" w:name="Tc_FED_R_fCuEW3ZjQ81tUE6A_6_8"/>
      <w:bookmarkStart w:id="1130" w:name="Tc_LRNmP5GjRkyK6xqstDzLaA_6_5"/>
      <w:bookmarkStart w:id="1131" w:name="Tc_M6lrfSLkbUaVP-hUI997Iw_6_2"/>
      <w:bookmarkStart w:id="1132" w:name="Tc_YclVBV5heEy3Iz5VmKiQtQ_6_0"/>
      <w:bookmarkStart w:id="1133" w:name="Tc_EyypKG9Xg02aYiOoLTV2Ew_5_0"/>
      <w:bookmarkStart w:id="1134" w:name="Tc_QLkv8G2_1kmeU4SRtIJvbw_4_2"/>
      <w:bookmarkStart w:id="1135" w:name="Tc_nmkE7sk6xEm_8Mk2GAMZdA_3_11"/>
      <w:bookmarkStart w:id="1136" w:name="Tc_5qeQKn2cjEu43CdUlopY-w_3_8"/>
      <w:bookmarkStart w:id="1137" w:name="Tc_Bnz5ytUbaUe--LLJqIvPBA_3_5"/>
      <w:bookmarkStart w:id="1138" w:name="Tc_0zsZ7FiUJEOyidaknEheeQ_3_2"/>
      <w:bookmarkStart w:id="1139" w:name="Tc_epKwjeU430CW6MGseBZupg_2_8"/>
      <w:bookmarkStart w:id="1140" w:name="Tc_TTzxpmR8jUitqw7uDkyWpQ_2_2"/>
      <w:bookmarkStart w:id="1141" w:name="Tc_zFGDmR8qX0W1c3T5zgogBQ_1_8"/>
      <w:bookmarkStart w:id="1142" w:name="Tc_tbfmmWQkP0WXNbN1GpFSpg_1_2"/>
      <w:bookmarkStart w:id="1143" w:name="Tc_Z9nQx5RbgE-N87bnaExuLg_18_11"/>
      <w:bookmarkStart w:id="1144" w:name="Tc_eHcYiDwVEked2gwhKFrjVA_18_8"/>
      <w:bookmarkStart w:id="1145" w:name="Tc_WuWdxS-NTEOnY4xzC4rJig_18_5"/>
      <w:bookmarkStart w:id="1146" w:name="Tc__7cgwn9rWkyVHloXOGMjrg_18_2"/>
      <w:bookmarkStart w:id="1147" w:name="Tc_x5gftIMogUOdbxms8dIezA_18_0"/>
      <w:bookmarkStart w:id="1148" w:name="Tc_F4Irym_ALU-oaYaCAra24w_17_0"/>
      <w:bookmarkStart w:id="1149" w:name="Tc_Kp9n3jpJjEaEDGSpMpZuvg_16_0"/>
      <w:bookmarkStart w:id="1150" w:name="Tc_nxuSiXRcFEe98GK7y5vJ6A_15_11"/>
      <w:bookmarkStart w:id="1151" w:name="Tc_jtn3YSakbkmgm0OvKRrnnw_15_8"/>
      <w:bookmarkStart w:id="1152" w:name="Tc_rSewKyhXtEOkihxVKawYEA_15_5"/>
      <w:bookmarkStart w:id="1153" w:name="Tc_YKySRlWSBEWrJfsHE_PM3Q_15_2"/>
      <w:bookmarkStart w:id="1154" w:name="Tc_v7b_i_8UIUWWjqta1wj85A_15_0"/>
      <w:bookmarkStart w:id="1155" w:name="Tc_YCZZF2KIy06zSX9tM0Q_-A_14_0"/>
      <w:bookmarkStart w:id="1156" w:name="Tc_fFY9HjWT9UasWRyKdtoTmw_12_11"/>
      <w:bookmarkStart w:id="1157" w:name="Tc_Mn8IG6ptZES3r2z0ZhiT4Q_12_8"/>
      <w:bookmarkStart w:id="1158" w:name="Tc_S6O-G5EUp0Kk4s7x2pSuMA_12_5"/>
      <w:bookmarkStart w:id="1159" w:name="Tc_zNUvhzwGc0CyCeoU95dJFw_12_2"/>
      <w:bookmarkStart w:id="1160" w:name="Tc_OuBdOPWK6kOVgAgD6DK5-g_12_0"/>
      <w:bookmarkStart w:id="1161" w:name="Tc_XoBf1RXuF0G4OSzY-j4Ohw_11_0"/>
      <w:bookmarkStart w:id="1162" w:name="Tc_-DvYZGIEDUaD7OOrrkqs9g_10_0"/>
      <w:bookmarkStart w:id="1163" w:name="Tc_FYBjRKfon0Ch2Z302VVqCw_9_0"/>
      <w:bookmarkStart w:id="1164" w:name="Tc_Y7LIbtvbREq8xChFfjc_FA_8_0"/>
      <w:bookmarkStart w:id="1165" w:name="Tc_BoBTS3m7iE65tJmIdraMAQ_7_0"/>
      <w:bookmarkStart w:id="1166" w:name="Tc_VsC6p49jfUmxle0qZ_fwfg_6_11"/>
      <w:bookmarkStart w:id="1167" w:name="Tc_M3dNDLyEQUuYnuWaS90Y0g_6_8"/>
      <w:bookmarkStart w:id="1168" w:name="Tc_wuSZvCH-XkibLXfs_F_OEQ_6_5"/>
      <w:bookmarkStart w:id="1169" w:name="Tc_99Wf60ZxQE-oJpR6UA8TLw_6_2"/>
      <w:bookmarkStart w:id="1170" w:name="Tc_-MSuxiSYMUy0X1hXA0oI9Q_6_0"/>
      <w:bookmarkStart w:id="1171" w:name="Tc_FlE0N-DsIkq2V0UXXZceYg_5_0"/>
      <w:bookmarkStart w:id="1172" w:name="Tc_QaUp8Ch_QUyaZe6-k2em4w_4_2"/>
      <w:bookmarkStart w:id="1173" w:name="Tc_EjxZkLmSC0SnNumRyD9gBQ_3_11"/>
      <w:bookmarkStart w:id="1174" w:name="Tc_uFMI8BQXW0-czIOPo8-Fng_3_8"/>
      <w:bookmarkStart w:id="1175" w:name="Tc_YI-3KmALoEKs4E0G_OKqKA_3_5"/>
      <w:bookmarkStart w:id="1176" w:name="Tc_wqSM1RK5WkSGET6adRCDzg_3_2"/>
      <w:bookmarkStart w:id="1177" w:name="Tc_E-YvsupiUUOtVkALJlYQHw_2_8"/>
      <w:bookmarkStart w:id="1178" w:name="Tc_Aonv3bl4aES5qylH5R0Iug_2_2"/>
      <w:bookmarkStart w:id="1179" w:name="Tc_TiFXwNK2z0Osg2K_39oX2Q_1_8"/>
      <w:bookmarkStart w:id="1180" w:name="Tc_sCt9jPPVBke8Weh7IrpwGg_1_2"/>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r>
        <w:rPr>
          <w:rFonts w:ascii="Times New Roman;Times;serif" w:hAnsi="Times New Roman;Times;serif"/>
          <w:b/>
          <w:sz w:val="20"/>
        </w:rPr>
        <w:t>Note 10 – Revenue – disaggregation of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disaggregates the net sales of our Chemicals Segment by place of manufacture (point of origin) and to the location of the customer (point of destination), which are the categories that depict how the nature, amount, timing and uncertainty of revenue and cash flows are affected by economic factors.</w:t>
      </w:r>
    </w:p>
    <w:p>
      <w:pPr>
        <w:pStyle w:val="TextBody"/>
        <w:bidi w:val="0"/>
        <w:spacing w:before="0" w:after="0"/>
        <w:ind w:left="0" w:right="0" w:hanging="0"/>
        <w:jc w:val="left"/>
        <w:rPr/>
      </w:pPr>
      <w:r>
        <w:rPr/>
        <w:t>​</w:t>
      </w:r>
    </w:p>
    <w:tbl>
      <w:tblPr>
        <w:tblW w:w="7543" w:type="dxa"/>
        <w:jc w:val="left"/>
        <w:tblInd w:w="0" w:type="dxa"/>
        <w:tblLayout w:type="fixed"/>
        <w:tblCellMar>
          <w:top w:w="0" w:type="dxa"/>
          <w:left w:w="0" w:type="dxa"/>
          <w:bottom w:w="0" w:type="dxa"/>
          <w:right w:w="0" w:type="dxa"/>
        </w:tblCellMar>
      </w:tblPr>
      <w:tblGrid>
        <w:gridCol w:w="2656"/>
        <w:gridCol w:w="286"/>
        <w:gridCol w:w="211"/>
        <w:gridCol w:w="691"/>
        <w:gridCol w:w="286"/>
        <w:gridCol w:w="211"/>
        <w:gridCol w:w="691"/>
        <w:gridCol w:w="286"/>
        <w:gridCol w:w="211"/>
        <w:gridCol w:w="691"/>
        <w:gridCol w:w="286"/>
        <w:gridCol w:w="211"/>
        <w:gridCol w:w="82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686560" cy="175260"/>
                      <wp:effectExtent l="0" t="0" r="0" b="0"/>
                      <wp:wrapNone/>
                      <wp:docPr id="199" name="Frame199"/>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81610" cy="175260"/>
                      <wp:effectExtent l="0" t="0" r="0" b="0"/>
                      <wp:wrapNone/>
                      <wp:docPr id="200" name="Frame20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38785" cy="175260"/>
                      <wp:effectExtent l="0" t="0" r="0" b="0"/>
                      <wp:wrapNone/>
                      <wp:docPr id="202" name="Frame2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81610" cy="175260"/>
                      <wp:effectExtent l="0" t="0" r="0" b="0"/>
                      <wp:wrapNone/>
                      <wp:docPr id="203" name="Frame20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38785" cy="175260"/>
                      <wp:effectExtent l="0" t="0" r="0" b="0"/>
                      <wp:wrapNone/>
                      <wp:docPr id="205" name="Frame20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81610" cy="175260"/>
                      <wp:effectExtent l="0" t="0" r="0" b="0"/>
                      <wp:wrapNone/>
                      <wp:docPr id="206" name="Frame20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38785" cy="175260"/>
                      <wp:effectExtent l="0" t="0" r="0" b="0"/>
                      <wp:wrapNone/>
                      <wp:docPr id="208" name="Frame20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81610" cy="175260"/>
                      <wp:effectExtent l="0" t="0" r="0" b="0"/>
                      <wp:wrapNone/>
                      <wp:docPr id="209" name="Frame20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24510" cy="175260"/>
                      <wp:effectExtent l="0" t="0" r="0" b="0"/>
                      <wp:wrapNone/>
                      <wp:docPr id="211" name="Frame21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209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286" w:type="dxa"/>
            <w:tcBorders/>
            <w:vAlign w:val="center"/>
          </w:tcPr>
          <w:p>
            <w:pPr>
              <w:pStyle w:val="TableContents"/>
              <w:bidi w:val="0"/>
              <w:spacing w:before="0" w:after="1"/>
              <w:ind w:left="0" w:right="0" w:hanging="0"/>
              <w:jc w:val="left"/>
              <w:rPr/>
            </w:pPr>
            <w:r>
              <w:rPr/>
              <w:t>​</w:t>
            </w:r>
          </w:p>
        </w:tc>
        <w:tc>
          <w:tcPr>
            <w:tcW w:w="222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265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20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286" w:type="dxa"/>
            <w:tcBorders/>
            <w:vAlign w:val="center"/>
          </w:tcPr>
          <w:p>
            <w:pPr>
              <w:pStyle w:val="TableContents"/>
              <w:bidi w:val="0"/>
              <w:spacing w:before="0" w:after="1"/>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65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86" w:type="dxa"/>
            <w:tcBorders/>
            <w:vAlign w:val="center"/>
          </w:tcPr>
          <w:p>
            <w:pPr>
              <w:pStyle w:val="TableContents"/>
              <w:bidi w:val="0"/>
              <w:spacing w:before="0" w:after="1"/>
              <w:ind w:left="0" w:right="0" w:hanging="0"/>
              <w:jc w:val="center"/>
              <w:rPr/>
            </w:pPr>
            <w:r>
              <w:rPr/>
              <w:t>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86" w:type="dxa"/>
            <w:tcBorders/>
            <w:vAlign w:val="center"/>
          </w:tcPr>
          <w:p>
            <w:pPr>
              <w:pStyle w:val="TableContents"/>
              <w:bidi w:val="0"/>
              <w:spacing w:before="0" w:after="1"/>
              <w:ind w:left="0" w:right="0" w:hanging="0"/>
              <w:jc w:val="center"/>
              <w:rPr/>
            </w:pPr>
            <w:r>
              <w:rPr/>
              <w:t>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86" w:type="dxa"/>
            <w:tcBorders/>
            <w:vAlign w:val="center"/>
          </w:tcPr>
          <w:p>
            <w:pPr>
              <w:pStyle w:val="TableContents"/>
              <w:bidi w:val="0"/>
              <w:spacing w:before="0" w:after="1"/>
              <w:ind w:left="0" w:right="0" w:hanging="0"/>
              <w:jc w:val="center"/>
              <w:rPr/>
            </w:pPr>
            <w:r>
              <w:rPr/>
              <w:t>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54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65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4601"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 point of origin:</w:t>
            </w:r>
          </w:p>
        </w:tc>
        <w:tc>
          <w:tcPr>
            <w:tcW w:w="28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  ​</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275.7</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440.7</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598.1</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798.4</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Germany</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214.5</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253.7</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431.3</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480.3</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87.6</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175.5</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Belgium</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70.3</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131.3</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134.5</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Norway</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62.8</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128.9</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(189.9)</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(357.0)</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(486.3)</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(649.7)</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494.4</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558.1</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984.2</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1,067.9</w:t>
            </w:r>
          </w:p>
        </w:tc>
      </w:tr>
      <w:tr>
        <w:trPr/>
        <w:tc>
          <w:tcPr>
            <w:tcW w:w="265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 point of destination:</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Europe</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226.8</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285.5</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455.3</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528.6</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188.2</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199.0</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378.4</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385.2</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73.6</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154.1</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494.4</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558.1</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984.2</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1,067.9</w:t>
            </w:r>
          </w:p>
        </w:tc>
      </w:tr>
    </w:tbl>
    <w:p>
      <w:pPr>
        <w:pStyle w:val="TextBody"/>
        <w:bidi w:val="0"/>
        <w:spacing w:before="0" w:after="0"/>
        <w:ind w:left="0" w:right="0" w:hanging="0"/>
        <w:jc w:val="left"/>
        <w:rPr/>
      </w:pPr>
      <w:r>
        <w:rPr/>
        <w:t>​</w:t>
      </w:r>
    </w:p>
    <w:p>
      <w:pPr>
        <w:pStyle w:val="TextBody"/>
        <w:bidi w:val="0"/>
        <w:spacing w:before="200" w:after="240"/>
        <w:ind w:left="0" w:right="0" w:firstLine="720"/>
        <w:jc w:val="both"/>
        <w:rPr>
          <w:rFonts w:ascii="Times New Roman;Times;serif" w:hAnsi="Times New Roman;Times;serif"/>
          <w:sz w:val="20"/>
        </w:rPr>
      </w:pPr>
      <w:r>
        <w:rPr>
          <w:rFonts w:ascii="Times New Roman;Times;serif" w:hAnsi="Times New Roman;Times;serif"/>
          <w:sz w:val="20"/>
        </w:rPr>
        <w:t>The following table disaggregates the net sales of our Component Products Segment by major product line.</w:t>
      </w:r>
    </w:p>
    <w:p>
      <w:pPr>
        <w:pStyle w:val="TextBody"/>
        <w:bidi w:val="0"/>
        <w:spacing w:before="0" w:after="0"/>
        <w:ind w:left="0" w:right="0" w:hanging="0"/>
        <w:jc w:val="left"/>
        <w:rPr/>
      </w:pPr>
      <w:r>
        <w:rPr/>
        <w:t>​</w:t>
      </w:r>
    </w:p>
    <w:tbl>
      <w:tblPr>
        <w:tblW w:w="6096" w:type="dxa"/>
        <w:jc w:val="left"/>
        <w:tblInd w:w="0" w:type="dxa"/>
        <w:tblLayout w:type="fixed"/>
        <w:tblCellMar>
          <w:top w:w="0" w:type="dxa"/>
          <w:left w:w="0" w:type="dxa"/>
          <w:bottom w:w="0" w:type="dxa"/>
          <w:right w:w="0" w:type="dxa"/>
        </w:tblCellMar>
      </w:tblPr>
      <w:tblGrid>
        <w:gridCol w:w="1741"/>
        <w:gridCol w:w="346"/>
        <w:gridCol w:w="230"/>
        <w:gridCol w:w="510"/>
        <w:gridCol w:w="378"/>
        <w:gridCol w:w="230"/>
        <w:gridCol w:w="510"/>
        <w:gridCol w:w="346"/>
        <w:gridCol w:w="211"/>
        <w:gridCol w:w="466"/>
        <w:gridCol w:w="346"/>
        <w:gridCol w:w="211"/>
        <w:gridCol w:w="57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105535" cy="175260"/>
                      <wp:effectExtent l="0" t="0" r="0" b="0"/>
                      <wp:wrapNone/>
                      <wp:docPr id="212" name="Frame212"/>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46050" cy="175260"/>
                      <wp:effectExtent l="0" t="0" r="0" b="0"/>
                      <wp:wrapNone/>
                      <wp:docPr id="214" name="Frame21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23850" cy="175260"/>
                      <wp:effectExtent l="0" t="0" r="0" b="0"/>
                      <wp:wrapNone/>
                      <wp:docPr id="215" name="Frame215"/>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40030" cy="175260"/>
                      <wp:effectExtent l="0" t="0" r="0" b="0"/>
                      <wp:wrapNone/>
                      <wp:docPr id="216" name="Frame216"/>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46050" cy="175260"/>
                      <wp:effectExtent l="0" t="0" r="0" b="0"/>
                      <wp:wrapNone/>
                      <wp:docPr id="217" name="Frame21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23850" cy="175260"/>
                      <wp:effectExtent l="0" t="0" r="0" b="0"/>
                      <wp:wrapNone/>
                      <wp:docPr id="218" name="Frame218"/>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95910" cy="175260"/>
                      <wp:effectExtent l="0" t="0" r="0" b="0"/>
                      <wp:wrapNone/>
                      <wp:docPr id="221" name="Frame22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62585" cy="175260"/>
                      <wp:effectExtent l="0" t="0" r="0" b="0"/>
                      <wp:wrapNone/>
                      <wp:docPr id="224" name="Frame2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58"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180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18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8" w:type="dxa"/>
            <w:tcBorders/>
            <w:vAlign w:val="center"/>
          </w:tcPr>
          <w:p>
            <w:pPr>
              <w:pStyle w:val="TableContents"/>
              <w:bidi w:val="0"/>
              <w:spacing w:before="0" w:after="1"/>
              <w:ind w:left="0" w:right="0" w:hanging="0"/>
              <w:jc w:val="center"/>
              <w:rPr/>
            </w:pPr>
            <w:r>
              <w:rPr/>
              <w:t>  ​ ​ ​</w:t>
            </w:r>
          </w:p>
        </w:tc>
        <w:tc>
          <w:tcPr>
            <w:tcW w:w="7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09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009"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510" w:type="dxa"/>
            <w:tcBorders/>
            <w:shd w:fill="CCEEFF" w:val="clear"/>
            <w:vAlign w:val="center"/>
          </w:tcPr>
          <w:p>
            <w:pPr>
              <w:pStyle w:val="TableContents"/>
              <w:bidi w:val="0"/>
              <w:spacing w:before="0" w:after="1"/>
              <w:ind w:left="0" w:right="0" w:hanging="0"/>
              <w:jc w:val="right"/>
              <w:rPr/>
            </w:pPr>
            <w:r>
              <w:rPr/>
              <w:t>  ​</w:t>
            </w:r>
          </w:p>
        </w:tc>
        <w:tc>
          <w:tcPr>
            <w:tcW w:w="378" w:type="dxa"/>
            <w:tcBorders/>
            <w:shd w:fill="CCEEFF" w:val="clear"/>
            <w:vAlign w:val="center"/>
          </w:tcPr>
          <w:p>
            <w:pPr>
              <w:pStyle w:val="TableContents"/>
              <w:bidi w:val="0"/>
              <w:spacing w:before="0" w:after="1"/>
              <w:ind w:left="0" w:right="0" w:hanging="0"/>
              <w:jc w:val="left"/>
              <w:rPr/>
            </w:pPr>
            <w:r>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51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378"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0"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63.2</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78"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21.0</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378"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84.2</w:t>
            </w:r>
          </w:p>
        </w:tc>
      </w:tr>
    </w:tbl>
    <w:p>
      <w:pPr>
        <w:pStyle w:val="TextBody"/>
        <w:bidi w:val="0"/>
        <w:spacing w:before="0" w:after="0"/>
        <w:ind w:left="0" w:right="0" w:hanging="0"/>
        <w:jc w:val="left"/>
        <w:rPr/>
      </w:pPr>
      <w:r>
        <w:rPr/>
        <w:t>​</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Substantially all of the Real Estate Management and Development Segment’s sales are related to land sales.</w:t>
      </w:r>
    </w:p>
    <w:p>
      <w:pPr>
        <w:pStyle w:val="TextBody"/>
        <w:bidi w:val="0"/>
        <w:spacing w:before="0" w:after="240"/>
        <w:ind w:left="0" w:right="0" w:firstLine="720"/>
        <w:jc w:val="both"/>
        <w:rPr/>
      </w:pPr>
      <w:r>
        <w:rPr/>
        <w:t>​</w:t>
      </w:r>
    </w:p>
    <w:p>
      <w:pPr>
        <w:pStyle w:val="TextBody"/>
        <w:bidi w:val="0"/>
        <w:spacing w:before="240" w:after="240"/>
        <w:ind w:left="0" w:right="0" w:hanging="0"/>
        <w:jc w:val="left"/>
        <w:rPr>
          <w:rFonts w:ascii="Times New Roman;Times;serif" w:hAnsi="Times New Roman;Times;serif"/>
          <w:b/>
          <w:sz w:val="20"/>
        </w:rPr>
      </w:pPr>
      <w:bookmarkStart w:id="1181" w:name="Tc_ZgOwI6Gid06QpTFln2sjNg_9_11"/>
      <w:bookmarkStart w:id="1182" w:name="Tc_4bS21zmho0aubQgaJefY_g_9_8"/>
      <w:bookmarkStart w:id="1183" w:name="Tc_dQmRQxGaU025bn_FyZMsaw_9_5"/>
      <w:bookmarkStart w:id="1184" w:name="Tc_2K120mKo60Knslwwr1fnSg_9_2"/>
      <w:bookmarkStart w:id="1185" w:name="Tc_3CDcdJK2WUKi9RSZ95auLw_9_0"/>
      <w:bookmarkStart w:id="1186" w:name="Tc_8Ofb1KeWtEm1h5X1_maFeQ_8_0"/>
      <w:bookmarkStart w:id="1187" w:name="Tc_rAbASFVW3Ee8m09AvHA4lw_7_0"/>
      <w:bookmarkStart w:id="1188" w:name="Tc_8cuKOQubnkeFzuBOgQexmg_6_0"/>
      <w:bookmarkStart w:id="1189" w:name="Tc_y1ZzKBEmTUC7SgjCytp0vg_5_11"/>
      <w:bookmarkStart w:id="1190" w:name="Tc_gLMGLJyfR0OmzOL1VBo_Qg_5_8"/>
      <w:bookmarkStart w:id="1191" w:name="Tc_h9CQxsCdi0SUjOQT_CyptQ_5_5"/>
      <w:bookmarkStart w:id="1192" w:name="Tc_v8jA-amf-EGn6eLVU_c0aQ_5_2"/>
      <w:bookmarkStart w:id="1193" w:name="Tc_awx5EqVgjUyTItloWZcp_g_5_0"/>
      <w:bookmarkStart w:id="1194" w:name="Tc_VBdY44ikrkmrzKSkxJJAnQ_4_2"/>
      <w:bookmarkStart w:id="1195" w:name="Tc_adeH6FxuD0GWAKJA0jcQdQ_3_11"/>
      <w:bookmarkStart w:id="1196" w:name="Tc_buT9MO2XIUa0HQs_Viq7yw_3_8"/>
      <w:bookmarkStart w:id="1197" w:name="Tc_YcAcq6_RBkCaF7_q-92GUg_3_5"/>
      <w:bookmarkStart w:id="1198" w:name="Tc_6IlQenlyO0CX0KRnVwpeJw_3_2"/>
      <w:bookmarkStart w:id="1199" w:name="Tc_ZkeL0ZOHJUy_34-h4ISjYg_2_8"/>
      <w:bookmarkStart w:id="1200" w:name="Tc_KTV60BB2i0Sfv98I4qvQVw_2_2"/>
      <w:bookmarkStart w:id="1201" w:name="Tc_0hxg9PhTf0GAQuZcjPNv-w_1_8"/>
      <w:bookmarkStart w:id="1202" w:name="Tc_nwiQAa4lkECbB20724HqtQ_1_2"/>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r>
        <w:rPr>
          <w:rFonts w:ascii="Times New Roman;Times;serif" w:hAnsi="Times New Roman;Times;serif"/>
          <w:b/>
          <w:sz w:val="20"/>
        </w:rPr>
        <w:t>Note 11 – Defined benefit pension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components of our net periodic defined benefit pension cost are presented in the table below.</w:t>
      </w:r>
    </w:p>
    <w:p>
      <w:pPr>
        <w:pStyle w:val="TextBody"/>
        <w:bidi w:val="0"/>
        <w:spacing w:before="0" w:after="0"/>
        <w:ind w:left="0" w:right="0" w:hanging="0"/>
        <w:jc w:val="left"/>
        <w:rPr/>
      </w:pPr>
      <w:r>
        <w:rPr/>
        <w:t>​</w:t>
      </w:r>
    </w:p>
    <w:tbl>
      <w:tblPr>
        <w:tblW w:w="7206" w:type="dxa"/>
        <w:jc w:val="left"/>
        <w:tblInd w:w="0" w:type="dxa"/>
        <w:tblLayout w:type="fixed"/>
        <w:tblCellMar>
          <w:top w:w="0" w:type="dxa"/>
          <w:left w:w="0" w:type="dxa"/>
          <w:bottom w:w="0" w:type="dxa"/>
          <w:right w:w="0" w:type="dxa"/>
        </w:tblCellMar>
      </w:tblPr>
      <w:tblGrid>
        <w:gridCol w:w="2671"/>
        <w:gridCol w:w="346"/>
        <w:gridCol w:w="226"/>
        <w:gridCol w:w="517"/>
        <w:gridCol w:w="372"/>
        <w:gridCol w:w="226"/>
        <w:gridCol w:w="517"/>
        <w:gridCol w:w="346"/>
        <w:gridCol w:w="211"/>
        <w:gridCol w:w="586"/>
        <w:gridCol w:w="346"/>
        <w:gridCol w:w="211"/>
        <w:gridCol w:w="63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696085" cy="175260"/>
                      <wp:effectExtent l="0" t="0" r="0" b="0"/>
                      <wp:wrapNone/>
                      <wp:docPr id="225" name="Frame225"/>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43510" cy="175260"/>
                      <wp:effectExtent l="0" t="0" r="0" b="0"/>
                      <wp:wrapNone/>
                      <wp:docPr id="227" name="Frame2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28295" cy="175260"/>
                      <wp:effectExtent l="0" t="0" r="0" b="0"/>
                      <wp:wrapNone/>
                      <wp:docPr id="228" name="Frame228"/>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36220" cy="175260"/>
                      <wp:effectExtent l="0" t="0" r="0" b="0"/>
                      <wp:wrapNone/>
                      <wp:docPr id="229" name="Frame229"/>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43510" cy="175260"/>
                      <wp:effectExtent l="0" t="0" r="0" b="0"/>
                      <wp:wrapNone/>
                      <wp:docPr id="230" name="Frame2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28295" cy="175260"/>
                      <wp:effectExtent l="0" t="0" r="0" b="0"/>
                      <wp:wrapNone/>
                      <wp:docPr id="231" name="Frame231"/>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72110" cy="175260"/>
                      <wp:effectExtent l="0" t="0" r="0" b="0"/>
                      <wp:wrapNone/>
                      <wp:docPr id="234" name="Frame2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00685" cy="175260"/>
                      <wp:effectExtent l="0" t="0" r="0" b="0"/>
                      <wp:wrapNone/>
                      <wp:docPr id="237" name="Frame23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58"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198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19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2" w:type="dxa"/>
            <w:tcBorders/>
            <w:vAlign w:val="center"/>
          </w:tcPr>
          <w:p>
            <w:pPr>
              <w:pStyle w:val="TableContents"/>
              <w:bidi w:val="0"/>
              <w:spacing w:before="0" w:after="1"/>
              <w:ind w:left="0" w:right="0" w:hanging="0"/>
              <w:jc w:val="left"/>
              <w:rPr/>
            </w:pPr>
            <w:r>
              <w:rPr/>
              <w:t>  ​ ​ ​</w:t>
            </w:r>
          </w:p>
        </w:tc>
        <w:tc>
          <w:tcPr>
            <w:tcW w:w="7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20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89"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72"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Interest cost </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72"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1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72"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1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net actuarial losses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72"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72"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3.9</w:t>
            </w:r>
          </w:p>
        </w:tc>
      </w:tr>
    </w:tbl>
    <w:p>
      <w:pPr>
        <w:pStyle w:val="TextBody"/>
        <w:bidi w:val="0"/>
        <w:spacing w:before="0" w:after="0"/>
        <w:ind w:left="0" w:right="0" w:hanging="0"/>
        <w:jc w:val="left"/>
        <w:rPr/>
      </w:pPr>
      <w:r>
        <w:rPr/>
        <w:t>​</w:t>
      </w:r>
    </w:p>
    <w:p>
      <w:pPr>
        <w:pStyle w:val="TextBody"/>
        <w:bidi w:val="0"/>
        <w:spacing w:before="200" w:after="0"/>
        <w:ind w:left="0" w:right="0" w:firstLine="720"/>
        <w:jc w:val="both"/>
        <w:rPr>
          <w:rFonts w:ascii="Times New Roman;Times;serif" w:hAnsi="Times New Roman;Times;serif"/>
          <w:sz w:val="20"/>
        </w:rPr>
      </w:pPr>
      <w:r>
        <w:rPr>
          <w:rFonts w:ascii="Times New Roman;Times;serif" w:hAnsi="Times New Roman;Times;serif"/>
          <w:sz w:val="20"/>
        </w:rPr>
        <w:t>We expect to contribute the equivalent of approximately $17 million to all of our defined benefit pension plans during 2026.</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39">
                <wp:simplePos x="0" y="0"/>
                <wp:positionH relativeFrom="page">
                  <wp:posOffset>0</wp:posOffset>
                </wp:positionH>
                <wp:positionV relativeFrom="line">
                  <wp:posOffset>635</wp:posOffset>
                </wp:positionV>
                <wp:extent cx="6480175" cy="175260"/>
                <wp:effectExtent l="0" t="0" r="0" b="0"/>
                <wp:wrapNone/>
                <wp:docPr id="238"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bookmarkStart w:id="1203" w:name="Tc_F-ShQLW4QkagTkqaTWAzfA_13_5"/>
      <w:bookmarkStart w:id="1204" w:name="Tc_trbGxIbFlkSVwsNyLkAJLA_13_2"/>
      <w:bookmarkStart w:id="1205" w:name="Tc_DxfIDUNJtk2fKDp9J9SchA_13_0"/>
      <w:bookmarkStart w:id="1206" w:name="Tc_AH98JThaKEGM9Lroq2HKLg_12_0"/>
      <w:bookmarkStart w:id="1207" w:name="Tc_xisT3f0VrEmTXkBDu92TdA_11_3"/>
      <w:bookmarkStart w:id="1208" w:name="Tc_LfKQAaerI0mHeEqVXZFaWA_11_0"/>
      <w:bookmarkStart w:id="1209" w:name="Tc_0rb3FPzz9EGIH9ZPKpNtkg_10_0"/>
      <w:bookmarkStart w:id="1210" w:name="Tc_eLYvPLunXkSD_ALDctD8uA_9_0"/>
      <w:bookmarkStart w:id="1211" w:name="Tc_MMD_cA0lnkW7xAtX1bnCwg_8_0"/>
      <w:bookmarkStart w:id="1212" w:name="Tc_TJbDgOOuPkKdVjaL0yJPeA_7_0"/>
      <w:bookmarkStart w:id="1213" w:name="Tc_It6YRFmE90O_ZmYyGx1Izw_6_5"/>
      <w:bookmarkStart w:id="1214" w:name="Tc_8rYD53J6bk2-tZiWd-sQww_6_2"/>
      <w:bookmarkStart w:id="1215" w:name="Tc_7SGAxZV-eEyAsgz_cl9VlA_6_0"/>
      <w:bookmarkStart w:id="1216" w:name="Tc_KvSsKxGXDE2hJ-b5DTO8xg_5_0"/>
      <w:bookmarkStart w:id="1217" w:name="Tc_WOQmcA3zZU2mA9G0RlvboA_4_2"/>
      <w:bookmarkStart w:id="1218" w:name="Tc_qO4dHYBp_E2jGJeGkcIyUA_3_5"/>
      <w:bookmarkStart w:id="1219" w:name="Tc_S4iT75qeV0yRgmXoowyY_g_3_2"/>
      <w:bookmarkStart w:id="1220" w:name="Tc_vRFWgXgf4kueqfHoLP1ICw_2_2"/>
      <w:bookmarkStart w:id="1221" w:name="Tc_BQ3d-WUDG0Kcvlb_nl-sMQ_1_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r>
        <w:rPr>
          <w:rFonts w:ascii="Times New Roman;Times;serif" w:hAnsi="Times New Roman;Times;serif"/>
          <w:b/>
          <w:sz w:val="20"/>
        </w:rPr>
        <w:t>Note 12 – Other income, net:</w:t>
      </w:r>
    </w:p>
    <w:p>
      <w:pPr>
        <w:pStyle w:val="TextBody"/>
        <w:bidi w:val="0"/>
        <w:spacing w:before="0" w:after="0"/>
        <w:ind w:left="0" w:right="0" w:hanging="0"/>
        <w:jc w:val="left"/>
        <w:rPr/>
      </w:pPr>
      <w:r>
        <w:rPr/>
        <w:t>​</w:t>
      </w:r>
    </w:p>
    <w:tbl>
      <w:tblPr>
        <w:tblW w:w="4597" w:type="dxa"/>
        <w:jc w:val="left"/>
        <w:tblInd w:w="0" w:type="dxa"/>
        <w:tblLayout w:type="fixed"/>
        <w:tblCellMar>
          <w:top w:w="0" w:type="dxa"/>
          <w:left w:w="0" w:type="dxa"/>
          <w:bottom w:w="0" w:type="dxa"/>
          <w:right w:w="0" w:type="dxa"/>
        </w:tblCellMar>
      </w:tblPr>
      <w:tblGrid>
        <w:gridCol w:w="2446"/>
        <w:gridCol w:w="346"/>
        <w:gridCol w:w="211"/>
        <w:gridCol w:w="466"/>
        <w:gridCol w:w="346"/>
        <w:gridCol w:w="211"/>
        <w:gridCol w:w="571"/>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553210" cy="175260"/>
                      <wp:effectExtent l="0" t="0" r="0" b="0"/>
                      <wp:wrapNone/>
                      <wp:docPr id="239" name="Frame239"/>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95910" cy="175260"/>
                      <wp:effectExtent l="0" t="0" r="0" b="0"/>
                      <wp:wrapNone/>
                      <wp:docPr id="242" name="Frame24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62585" cy="175260"/>
                      <wp:effectExtent l="0" t="0" r="0" b="0"/>
                      <wp:wrapNone/>
                      <wp:docPr id="245" name="Frame2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0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59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0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and other: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transactions,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transactions,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Infrastructure reimbursement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building 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25.6</w:t>
            </w:r>
          </w:p>
        </w:tc>
      </w:tr>
    </w:tbl>
    <w:p>
      <w:pPr>
        <w:pStyle w:val="TextBody"/>
        <w:bidi w:val="0"/>
        <w:spacing w:before="0" w:after="0"/>
        <w:ind w:left="0" w:right="0" w:hanging="0"/>
        <w:jc w:val="left"/>
        <w:rPr/>
      </w:pPr>
      <w:r>
        <w:rPr/>
        <w:t>​</w:t>
      </w:r>
    </w:p>
    <w:p>
      <w:pPr>
        <w:pStyle w:val="TextBody"/>
        <w:bidi w:val="0"/>
        <w:spacing w:before="200" w:after="240"/>
        <w:ind w:left="0" w:right="0" w:firstLine="720"/>
        <w:jc w:val="both"/>
        <w:rPr>
          <w:rFonts w:ascii="Times New Roman;Times;serif" w:hAnsi="Times New Roman;Times;serif"/>
          <w:sz w:val="20"/>
        </w:rPr>
      </w:pPr>
      <w:r>
        <w:rPr>
          <w:rFonts w:ascii="Times New Roman;Times;serif" w:hAnsi="Times New Roman;Times;serif"/>
          <w:i/>
          <w:sz w:val="20"/>
        </w:rPr>
        <w:t xml:space="preserve">Infrastructure reimbursement </w:t>
      </w:r>
      <w:r>
        <w:rPr>
          <w:rFonts w:ascii="Times New Roman;Times;serif" w:hAnsi="Times New Roman;Times;serif"/>
          <w:sz w:val="20"/>
        </w:rPr>
        <w:t xml:space="preserve">– As disclosed in Note 7 to our 2025 Annual Report, under an OPA entered into by LandWell with the Redevelopment Agency of the City of Henderson, Nevada, as LandWell develops certain real property for commercial and residential purposes in its master planned community in Henderson, Nevada, the cost of certain public infrastructure may be reimbursed to LandWell through tax increment. LandWell received approval for additional tax reimbursement of $16.7 million in the first six months of 2026 ($5.4 million in the first quarter and $11.3 million in the second quarter) and $17.2 million in the first six months of 2025 (all in the second quarter), which were recognized as other income and are evidenced by a promissory note issued to LandWell by the City of Henderson. The maximum infrastructure reimbursement of $170 million available under the OPA has now been approved.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LandWell has agreements with certain utility providers servicing the Cadence master planned community under which certain costs incurred for the development of power infrastructure may be reimbursed to LandWell. LandWell received $.1 million and $.3 million in reimbursement during the first six months of 2026 and 2025, respectively, for past costs incurred.</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i/>
          <w:sz w:val="20"/>
        </w:rPr>
        <w:t xml:space="preserve">Gain on the sale of office building – </w:t>
      </w:r>
      <w:r>
        <w:rPr>
          <w:rFonts w:ascii="Times New Roman;Times;serif" w:hAnsi="Times New Roman;Times;serif"/>
          <w:sz w:val="20"/>
        </w:rPr>
        <w:t>In June 2026, LandWell completed the sale of the office building used in its operations for cash proceeds of approximately $6.8 million and recognized a gain on sale of approximately $5.8 million.</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47">
                <wp:simplePos x="0" y="0"/>
                <wp:positionH relativeFrom="page">
                  <wp:posOffset>0</wp:posOffset>
                </wp:positionH>
                <wp:positionV relativeFrom="line">
                  <wp:posOffset>635</wp:posOffset>
                </wp:positionV>
                <wp:extent cx="6480175" cy="175260"/>
                <wp:effectExtent l="0" t="0" r="0" b="0"/>
                <wp:wrapNone/>
                <wp:docPr id="246"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00"/>
        <w:ind w:left="0" w:right="0" w:hanging="0"/>
        <w:jc w:val="left"/>
        <w:rPr>
          <w:rFonts w:ascii="Times New Roman;Times;serif" w:hAnsi="Times New Roman;Times;serif"/>
          <w:b/>
          <w:sz w:val="20"/>
        </w:rPr>
      </w:pPr>
      <w:bookmarkStart w:id="1222" w:name="Tc_dePo1O--bEKmliboA_76jg_29_11"/>
      <w:bookmarkStart w:id="1223" w:name="Tc_Hzas_x3YOkOKXoQyoYh9Ww_29_8"/>
      <w:bookmarkStart w:id="1224" w:name="Tc_2Ipgv3MQFE6UX8yOTIcbDw_29_5"/>
      <w:bookmarkStart w:id="1225" w:name="Tc_0V2dkwpsFU6tZ_31i6wigw_29_2"/>
      <w:bookmarkStart w:id="1226" w:name="Tc_Kq5PYSFqY0KvCqDmd2_HLw_29_0"/>
      <w:bookmarkStart w:id="1227" w:name="Tc_MbHAk1K45UyZNF1CJMOVYw_28_0"/>
      <w:bookmarkStart w:id="1228" w:name="Tc_tDdDfFGcSUGExJOZRodK_Q_27_12"/>
      <w:bookmarkStart w:id="1229" w:name="Tc_nfIagbnnpUm1wk3UYtnUDw_27_0"/>
      <w:bookmarkStart w:id="1230" w:name="Tc_JRmy1sqCt02IXFwQU4I2ag_26_0"/>
      <w:bookmarkStart w:id="1231" w:name="Tc_WCEMILgBVkuqcy3zhqjTYw_25_11"/>
      <w:bookmarkStart w:id="1232" w:name="Tc_EEbZqcvNB0OwvG3AlWlYEQ_25_8"/>
      <w:bookmarkStart w:id="1233" w:name="Tc_Jgno52-lJEuJ7AgGHuarsg_25_5"/>
      <w:bookmarkStart w:id="1234" w:name="Tc_Gz9HA3_PxEi-_5JlLljZUA_25_2"/>
      <w:bookmarkStart w:id="1235" w:name="Tc_gTxoLQaaj06AhI77yC18oQ_24_0"/>
      <w:bookmarkStart w:id="1236" w:name="Tc_kHid-d-1906txb8NwEtJyQ_22_11"/>
      <w:bookmarkStart w:id="1237" w:name="Tc_tSWMSIEXZU2hwk3Q0h3LvA_22_8"/>
      <w:bookmarkStart w:id="1238" w:name="Tc_YCN5hMUUIkqnwox3bTJMVQ_22_5"/>
      <w:bookmarkStart w:id="1239" w:name="Tc_ZqCs6sJGGEWqEloFlg4pNA_22_2"/>
      <w:bookmarkStart w:id="1240" w:name="Tc_KuCL4k0ubUadrYTcdvtAQg_22_0"/>
      <w:bookmarkStart w:id="1241" w:name="Tc_9MJHF4kUqU-v5pJxnVoKNw_21_0"/>
      <w:bookmarkStart w:id="1242" w:name="Tc_rSbJ7_i8Dkqjqgu4m5a0cA_20_0"/>
      <w:bookmarkStart w:id="1243" w:name="Tc_Zbtt78eDBkefGrE-9qrSBg_19_0"/>
      <w:bookmarkStart w:id="1244" w:name="Tc_6cLA-7P6lUOOYsky8L3lBw_18_0"/>
      <w:bookmarkStart w:id="1245" w:name="Tc_X7GJWzDQkUqzpbHtujyTgg_17_0"/>
      <w:bookmarkStart w:id="1246" w:name="Tc_ZgkA5owkKUqUEkW26inLXg_16_0"/>
      <w:bookmarkStart w:id="1247" w:name="Tc_k_oEDGAy206T2eb0v5rMOg_15_0"/>
      <w:bookmarkStart w:id="1248" w:name="Tc_JXGEnpl1jEayAGrIg-28lQ_14_0"/>
      <w:bookmarkStart w:id="1249" w:name="Tc_MID-lvwQpEi2iYtorqW8tQ_13_0"/>
      <w:bookmarkStart w:id="1250" w:name="Tc_BHrqvW2kCUSx7DM-Eb_Avg_12_0"/>
      <w:bookmarkStart w:id="1251" w:name="Tc_66Ef94EdbkS24opEQLpN5w_11_0"/>
      <w:bookmarkStart w:id="1252" w:name="Tc_iZvMTidU8kmhM9fDfi2gDQ_10_0"/>
      <w:bookmarkStart w:id="1253" w:name="Tc_4mjyzwUo6USJVKbHPtSBUg_9_0"/>
      <w:bookmarkStart w:id="1254" w:name="Tc_TkKWvm-RQUiwWDBJdgO-Bw_8_6"/>
      <w:bookmarkStart w:id="1255" w:name="Tc_Qa2zyyGMYUmUN6kr4bpvXA_8_0"/>
      <w:bookmarkStart w:id="1256" w:name="Tc_immdFpWkZEGZz_eEjBWmcg_7_9"/>
      <w:bookmarkStart w:id="1257" w:name="Tc_UXHzouK3Q0KkJsP46kgc1A_7_3"/>
      <w:bookmarkStart w:id="1258" w:name="Tc_iiTEkguGa0iYxRXhFOf-HA_7_0"/>
      <w:bookmarkStart w:id="1259" w:name="Tc_yKFqY4KfdEyho9sJMixdxA_6_0"/>
      <w:bookmarkStart w:id="1260" w:name="Tc_LaVaBPhSnUiMcG0Caz7J1w_5_0"/>
      <w:bookmarkStart w:id="1261" w:name="Tc_2lfe5INZtEa8Ob4CuqP4Tg_4_11"/>
      <w:bookmarkStart w:id="1262" w:name="Tc_WHMCNqHXwUeY1ckE6SIHMg_4_8"/>
      <w:bookmarkStart w:id="1263" w:name="Tc_WOCwkY4k7kma1DVeOS3sTA_4_5"/>
      <w:bookmarkStart w:id="1264" w:name="Tc_sieeRvzhxEyhoLvrv-_67w_4_2"/>
      <w:bookmarkStart w:id="1265" w:name="Tc_NplX33MWskWvX9Oxpthc8A_4_0"/>
      <w:bookmarkStart w:id="1266" w:name="Tc_Y3_KK8zAVEqC3sA9dk5caQ_3_2"/>
      <w:bookmarkStart w:id="1267" w:name="Tc_k0UyHaBV3UaDYRAgndm0vw_2_11"/>
      <w:bookmarkStart w:id="1268" w:name="Tc_ZWhVE_8Y-UGOmoq-LPXfuw_2_8"/>
      <w:bookmarkStart w:id="1269" w:name="Tc_UxaXZVCh2EKD4YvXDYE8BA_2_5"/>
      <w:bookmarkStart w:id="1270" w:name="Tc_4dlEvdHkxka9Y8XOfS3Ajg_2_2"/>
      <w:bookmarkStart w:id="1271" w:name="Tc_gcSzWcb61EiXCO1VYtv4fQ_1_8"/>
      <w:bookmarkStart w:id="1272" w:name="Tc_Nxx6biqH5kCA1BnPzPN29w_1_2"/>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r>
        <w:rPr>
          <w:rFonts w:ascii="Times New Roman;Times;serif" w:hAnsi="Times New Roman;Times;serif"/>
          <w:b/>
          <w:sz w:val="20"/>
        </w:rPr>
        <w:t>Note 13 – Income taxes: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provision for income taxes and the difference between such provision for income taxes and the amount that would be expected using the U.S. federal statutory income tax rate of 21% are presented below.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05"/>
        <w:gridCol w:w="346"/>
        <w:gridCol w:w="295"/>
        <w:gridCol w:w="660"/>
        <w:gridCol w:w="484"/>
        <w:gridCol w:w="295"/>
        <w:gridCol w:w="670"/>
        <w:gridCol w:w="346"/>
        <w:gridCol w:w="293"/>
        <w:gridCol w:w="666"/>
        <w:gridCol w:w="151"/>
        <w:gridCol w:w="293"/>
        <w:gridCol w:w="801"/>
      </w:tblGrid>
      <w:tr>
        <w:trPr/>
        <w:tc>
          <w:tcPr>
            <w:tcW w:w="4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114675" cy="175260"/>
                      <wp:effectExtent l="0" t="0" r="0" b="0"/>
                      <wp:wrapNone/>
                      <wp:docPr id="247" name="Frame247"/>
                      <a:graphic xmlns:a="http://schemas.openxmlformats.org/drawingml/2006/main">
                        <a:graphicData uri="http://schemas.microsoft.com/office/word/2010/wordprocessingShape">
                          <wps:wsp>
                            <wps:cNvSpPr txBox="1"/>
                            <wps:spPr>
                              <a:xfrm>
                                <a:off x="0" y="0"/>
                                <a:ext cx="311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87325" cy="175260"/>
                      <wp:effectExtent l="0" t="0" r="0" b="0"/>
                      <wp:wrapNone/>
                      <wp:docPr id="249" name="Frame24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19100" cy="175260"/>
                      <wp:effectExtent l="0" t="0" r="0" b="0"/>
                      <wp:wrapNone/>
                      <wp:docPr id="250" name="Frame250"/>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07340" cy="175260"/>
                      <wp:effectExtent l="0" t="0" r="0" b="0"/>
                      <wp:wrapNone/>
                      <wp:docPr id="251" name="Frame251"/>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87325" cy="175260"/>
                      <wp:effectExtent l="0" t="0" r="0" b="0"/>
                      <wp:wrapNone/>
                      <wp:docPr id="252" name="Frame252"/>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25450" cy="175260"/>
                      <wp:effectExtent l="0" t="0" r="0" b="0"/>
                      <wp:wrapNone/>
                      <wp:docPr id="253" name="Frame253"/>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86055" cy="175260"/>
                      <wp:effectExtent l="0" t="0" r="0" b="0"/>
                      <wp:wrapNone/>
                      <wp:docPr id="255" name="Frame255"/>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22910" cy="175260"/>
                      <wp:effectExtent l="0" t="0" r="0" b="0"/>
                      <wp:wrapNone/>
                      <wp:docPr id="256" name="Frame256"/>
                      <a:graphic xmlns:a="http://schemas.openxmlformats.org/drawingml/2006/main">
                        <a:graphicData uri="http://schemas.microsoft.com/office/word/2010/wordprocessingShape">
                          <wps:wsp>
                            <wps:cNvSpPr txBox="1"/>
                            <wps:spPr>
                              <a:xfrm>
                                <a:off x="0" y="0"/>
                                <a:ext cx="42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95885" cy="175260"/>
                      <wp:effectExtent l="0" t="0" r="0" b="0"/>
                      <wp:wrapNone/>
                      <wp:docPr id="257" name="Frame257"/>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86055" cy="175260"/>
                      <wp:effectExtent l="0" t="0" r="0" b="0"/>
                      <wp:wrapNone/>
                      <wp:docPr id="258" name="Frame258"/>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08635" cy="175260"/>
                      <wp:effectExtent l="0" t="0" r="0" b="0"/>
                      <wp:wrapNone/>
                      <wp:docPr id="259" name="Frame259"/>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June 30, </w:t>
            </w:r>
          </w:p>
        </w:tc>
        <w:tc>
          <w:tcPr>
            <w:tcW w:w="346" w:type="dxa"/>
            <w:tcBorders/>
            <w:vAlign w:val="center"/>
          </w:tcPr>
          <w:p>
            <w:pPr>
              <w:pStyle w:val="TableContents"/>
              <w:bidi w:val="0"/>
              <w:spacing w:before="0" w:after="0"/>
              <w:ind w:left="0" w:right="0" w:hanging="0"/>
              <w:jc w:val="left"/>
              <w:rPr/>
            </w:pPr>
            <w:r>
              <w:rPr/>
              <w:t>​</w:t>
            </w:r>
          </w:p>
        </w:tc>
        <w:tc>
          <w:tcPr>
            <w:tcW w:w="22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r>
      <w:tr>
        <w:trPr/>
        <w:tc>
          <w:tcPr>
            <w:tcW w:w="49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84" w:type="dxa"/>
            <w:tcBorders/>
            <w:vAlign w:val="center"/>
          </w:tcPr>
          <w:p>
            <w:pPr>
              <w:pStyle w:val="TableContents"/>
              <w:bidi w:val="0"/>
              <w:spacing w:before="0" w:after="0"/>
              <w:ind w:left="0" w:right="0" w:hanging="0"/>
              <w:jc w:val="center"/>
              <w:rPr/>
            </w:pPr>
            <w:r>
              <w:rPr/>
              <w:t>  ​ ​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9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51" w:type="dxa"/>
            <w:tcBorders/>
            <w:vAlign w:val="center"/>
          </w:tcPr>
          <w:p>
            <w:pPr>
              <w:pStyle w:val="TableContents"/>
              <w:bidi w:val="0"/>
              <w:spacing w:before="0" w:after="0"/>
              <w:ind w:left="0" w:right="0" w:hanging="0"/>
              <w:jc w:val="center"/>
              <w:rPr/>
            </w:pPr>
            <w:r>
              <w:rPr/>
              <w:t>​</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9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54"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statutory income tax rate</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84"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151"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w:t>
            </w:r>
          </w:p>
        </w:tc>
      </w:tr>
      <w:tr>
        <w:trPr/>
        <w:tc>
          <w:tcPr>
            <w:tcW w:w="4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pPr>
            <w:r>
              <w:rPr/>
              <w:t>​</w:t>
            </w:r>
          </w:p>
        </w:tc>
        <w:tc>
          <w:tcPr>
            <w:tcW w:w="484"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Subnational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84"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51"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w:t>
            </w:r>
          </w:p>
        </w:tc>
      </w:tr>
      <w:tr>
        <w:trPr/>
        <w:tc>
          <w:tcPr>
            <w:tcW w:w="4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pPr>
            <w:r>
              <w:rPr/>
              <w:t>—</w:t>
            </w:r>
          </w:p>
        </w:tc>
        <w:tc>
          <w:tcPr>
            <w:tcW w:w="484"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84"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51"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r>
      <w:tr>
        <w:trPr/>
        <w:tc>
          <w:tcPr>
            <w:tcW w:w="4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Belgium:</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pPr>
            <w:r>
              <w:rPr/>
              <w:t>​</w:t>
            </w:r>
          </w:p>
        </w:tc>
        <w:tc>
          <w:tcPr>
            <w:tcW w:w="484"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484"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51"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r>
      <w:tr>
        <w:trPr/>
        <w:tc>
          <w:tcPr>
            <w:tcW w:w="4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foreign jurisdictions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84"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51"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cross-border tax laws: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pPr>
            <w:r>
              <w:rPr/>
              <w:t>​</w:t>
            </w:r>
          </w:p>
        </w:tc>
        <w:tc>
          <w:tcPr>
            <w:tcW w:w="484"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pPr>
            <w:r>
              <w:rPr/>
              <w:t>​</w:t>
            </w:r>
          </w:p>
        </w:tc>
        <w:tc>
          <w:tcPr>
            <w:tcW w:w="151"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r>
      <w:tr>
        <w:trPr/>
        <w:tc>
          <w:tcPr>
            <w:tcW w:w="4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controlled-foreign-corporation tested income</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84"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51"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tax benefit on earnings or losses of subsidiary</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84"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51"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w:t>
            </w:r>
          </w:p>
        </w:tc>
      </w:tr>
      <w:tr>
        <w:trPr/>
        <w:tc>
          <w:tcPr>
            <w:tcW w:w="4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84"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51"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84"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51"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w:t>
            </w:r>
          </w:p>
        </w:tc>
      </w:tr>
      <w:tr>
        <w:trPr/>
        <w:tc>
          <w:tcPr>
            <w:tcW w:w="4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unrecognized tax benefits, net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84"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51"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pPr>
            <w:r>
              <w:rPr/>
              <w:t>​</w:t>
            </w:r>
          </w:p>
        </w:tc>
        <w:tc>
          <w:tcPr>
            <w:tcW w:w="484"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pPr>
            <w:r>
              <w:rPr/>
              <w:t>​</w:t>
            </w:r>
          </w:p>
        </w:tc>
        <w:tc>
          <w:tcPr>
            <w:tcW w:w="151"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r>
      <w:tr>
        <w:trPr/>
        <w:tc>
          <w:tcPr>
            <w:tcW w:w="4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tax benefit on investment in Kronos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84"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51"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w:t>
            </w:r>
          </w:p>
        </w:tc>
      </w:tr>
      <w:tr>
        <w:trPr/>
        <w:tc>
          <w:tcPr>
            <w:tcW w:w="49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tax expense (benefit) on investment in BMI/LandWell</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84"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51"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r>
      <w:tr>
        <w:trPr/>
        <w:tc>
          <w:tcPr>
            <w:tcW w:w="4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84"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51"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484"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151"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18.1</w:t>
            </w:r>
          </w:p>
        </w:tc>
      </w:tr>
      <w:tr>
        <w:trPr/>
        <w:tc>
          <w:tcPr>
            <w:tcW w:w="49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pPr>
            <w:r>
              <w:rPr/>
              <w:t>​</w:t>
            </w:r>
          </w:p>
        </w:tc>
        <w:tc>
          <w:tcPr>
            <w:tcW w:w="484"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provision for income taxes allocable to:</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pPr>
            <w:r>
              <w:rPr/>
              <w:t>​</w:t>
            </w:r>
          </w:p>
        </w:tc>
        <w:tc>
          <w:tcPr>
            <w:tcW w:w="484"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pPr>
            <w:r>
              <w:rPr/>
              <w:t>​</w:t>
            </w:r>
          </w:p>
        </w:tc>
        <w:tc>
          <w:tcPr>
            <w:tcW w:w="151"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r>
      <w:tr>
        <w:trPr/>
        <w:tc>
          <w:tcPr>
            <w:tcW w:w="49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484"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151"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18.1</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pPr>
            <w:r>
              <w:rPr/>
              <w:t>​</w:t>
            </w:r>
          </w:p>
        </w:tc>
        <w:tc>
          <w:tcPr>
            <w:tcW w:w="484"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pPr>
            <w:r>
              <w:rPr/>
              <w:t>​</w:t>
            </w:r>
          </w:p>
        </w:tc>
        <w:tc>
          <w:tcPr>
            <w:tcW w:w="151"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r>
      <w:tr>
        <w:trPr/>
        <w:tc>
          <w:tcPr>
            <w:tcW w:w="4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84"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51"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84"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51"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4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tax expense</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484"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151" w:type="dxa"/>
            <w:tcBorders/>
            <w:vAlign w:val="center"/>
          </w:tcPr>
          <w:p>
            <w:pPr>
              <w:pStyle w:val="TableContents"/>
              <w:bidi w:val="0"/>
              <w:spacing w:before="0" w:after="0"/>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18.4</w:t>
            </w:r>
          </w:p>
        </w:tc>
      </w:tr>
    </w:tbl>
    <w:p>
      <w:pPr>
        <w:pStyle w:val="TextBody"/>
        <w:bidi w:val="0"/>
        <w:spacing w:before="0" w:after="0"/>
        <w:ind w:left="0" w:right="0" w:firstLine="720"/>
        <w:jc w:val="both"/>
        <w:rPr/>
      </w:pPr>
      <w:r>
        <w:rPr/>
        <w:t>​</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The amount shown in the preceding table of our income tax rate reconciliation for incremental tax benefit on earnings or losses of subsidiary represents net current and deferred U.S. income tax benefit attributable to one of our Chemicals Segment’s non-U.S. subsidiaries which is treated as a dual resident for U.S. income tax purposes. The amount shown for incremental tax expense (benefit) on investment in BMI/LandWell represents current and deferred income taxes associated with distributions and earnings from our investment in BMI and LandWell. BMI and LandWell are not members of our consolidated tax group for federal and state tax purposes although we do hold a controlling interest. Income allocable to non-affiliated equity holders is not taxable to us and results in a net incremental tax benefit.</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On July 4, 2025, the One Big Beautiful Bill Act (“OBBBA”) was signed into law in the United States.  It did not have a material impact on our consolidated financial statements.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Tax authorities are examining certain of our U.S. and non-U.S. income tax returns and may propose tax deficiencies, including penalties and interest. In March 2026, we received notices of assessment from the German tax authorities for tax years 2019 through 2021. We disagree with the assessments and have filed notice of appeal. However, due to the uncertainty of the appeal and the complexity of the appeal process, during the first quarter of 2026 we recorded net income tax expense of $2.0 million to establish an uncertain tax position, net of amounts expected to be received from other taxing jurisdictions.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we have adequate accruals for additional taxes and related interest expense which could ultimately result from tax examinations. We believe the ultimate disposition of tax examinations should not have a material adverse effect on our consolidated financial position, results of operations or liquidity.</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61">
                <wp:simplePos x="0" y="0"/>
                <wp:positionH relativeFrom="page">
                  <wp:posOffset>0</wp:posOffset>
                </wp:positionH>
                <wp:positionV relativeFrom="line">
                  <wp:posOffset>635</wp:posOffset>
                </wp:positionV>
                <wp:extent cx="6480175" cy="175260"/>
                <wp:effectExtent l="0" t="0" r="0" b="0"/>
                <wp:wrapNone/>
                <wp:docPr id="260"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bookmarkStart w:id="1273" w:name="Tc_d9Lg50e9OEafgEUotGsNxQ_10_5"/>
      <w:bookmarkStart w:id="1274" w:name="Tc_nSDI8SIksE6V5ffQomahHg_10_2"/>
      <w:bookmarkStart w:id="1275" w:name="Tc_jYfUzTVwM02mS-FWQ-voBQ_10_0"/>
      <w:bookmarkStart w:id="1276" w:name="Tc_voQ1lUVcjUOOsfV4lGVZuQ_9_0"/>
      <w:bookmarkStart w:id="1277" w:name="Tc_r5jJiVOGF0mwSt4QdIr-mg_8_0"/>
      <w:bookmarkStart w:id="1278" w:name="Tc_Xh-pl2BYpky7MrbwSukszQ_7_0"/>
      <w:bookmarkStart w:id="1279" w:name="Tc_CpwNFGG8J0W2_954c0_xDA_6_0"/>
      <w:bookmarkStart w:id="1280" w:name="Tc_7EyVDXmSuUigliKSjp1hTg_5_5"/>
      <w:bookmarkStart w:id="1281" w:name="Tc_-ZWNTmH-i02TauZJvp4oIw_5_2"/>
      <w:bookmarkStart w:id="1282" w:name="Tc_H8yrIfpJ_EagkcOoBgvO3g_5_0"/>
      <w:bookmarkStart w:id="1283" w:name="Tc_nVdageYeQEKATQV_-xPqgw_4_0"/>
      <w:bookmarkStart w:id="1284" w:name="Tc_eAEzPka6kU6HbDH1MpGulA_3_2"/>
      <w:bookmarkStart w:id="1285" w:name="Tc_ScAnnTKcWEO2NhlDZY8JBA_2_5"/>
      <w:bookmarkStart w:id="1286" w:name="Tc_N5Joc40DBE6YVGgm5l02bw_2_2"/>
      <w:bookmarkStart w:id="1287" w:name="Tc_8mbW0PWD20KHsbLy7gODLA_1_2"/>
      <w:bookmarkStart w:id="1288" w:name="Tc_NaAWD9v41E-rkYFou3wawA_10_5"/>
      <w:bookmarkStart w:id="1289" w:name="Tc_qBrLVKlAf0OG3Hk4ev0Wew_10_2"/>
      <w:bookmarkStart w:id="1290" w:name="Tc_4XimJn3FEkKvvPkvm1-qkQ_10_0"/>
      <w:bookmarkStart w:id="1291" w:name="Tc_xJh1C5Wih0mjthnxEnTmdA_9_0"/>
      <w:bookmarkStart w:id="1292" w:name="Tc_MqxYJ4hncEWLhMJl4kB2eA_8_0"/>
      <w:bookmarkStart w:id="1293" w:name="Tc_v_8zsQW2l0u77GEQt8M2yA_7_0"/>
      <w:bookmarkStart w:id="1294" w:name="Tc_g6kRnHm_gE2Iyn8Ewvdmww_6_0"/>
      <w:bookmarkStart w:id="1295" w:name="Tc_v0SlbIn6UEChghC4OX0sNg_5_5"/>
      <w:bookmarkStart w:id="1296" w:name="Tc_LMDtn5AV5UifLqobbbJrCg_5_2"/>
      <w:bookmarkStart w:id="1297" w:name="Tc_XXY-LDiTFkyT6NCWMtnMTQ_5_0"/>
      <w:bookmarkStart w:id="1298" w:name="Tc_xIKA7sXPY0m5VEqyBvuz4w_4_0"/>
      <w:bookmarkStart w:id="1299" w:name="Tc_vCw1lROAXUm16SfOK8W1XQ_3_2"/>
      <w:bookmarkStart w:id="1300" w:name="Tc_DsjggsNnuUSivZLGJF3nnw_2_5"/>
      <w:bookmarkStart w:id="1301" w:name="Tc_gqLIgeuWpEWlikllEU2ZIQ_2_2"/>
      <w:bookmarkStart w:id="1302" w:name="Tc_Q45GU0-wYkKuglpgRIw4cA_1_5"/>
      <w:bookmarkStart w:id="1303" w:name="Tc_gqAQRryXckO5GXbCNrhiPg_1_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r>
        <w:rPr>
          <w:rFonts w:ascii="Times New Roman;Times;serif" w:hAnsi="Times New Roman;Times;serif"/>
          <w:b/>
          <w:sz w:val="20"/>
        </w:rPr>
        <w:t>Note 14 - Noncontrolling interest in subsidiaries:</w:t>
      </w:r>
    </w:p>
    <w:p>
      <w:pPr>
        <w:pStyle w:val="TextBody"/>
        <w:bidi w:val="0"/>
        <w:spacing w:before="0" w:after="0"/>
        <w:ind w:left="0" w:right="0" w:hanging="0"/>
        <w:jc w:val="left"/>
        <w:rPr/>
      </w:pPr>
      <w:r>
        <w:rPr/>
        <w:t>​</w:t>
      </w:r>
    </w:p>
    <w:tbl>
      <w:tblPr>
        <w:tblW w:w="6003" w:type="dxa"/>
        <w:jc w:val="left"/>
        <w:tblInd w:w="0" w:type="dxa"/>
        <w:tblLayout w:type="fixed"/>
        <w:tblCellMar>
          <w:top w:w="0" w:type="dxa"/>
          <w:left w:w="0" w:type="dxa"/>
          <w:bottom w:w="0" w:type="dxa"/>
          <w:right w:w="0" w:type="dxa"/>
        </w:tblCellMar>
      </w:tblPr>
      <w:tblGrid>
        <w:gridCol w:w="3106"/>
        <w:gridCol w:w="346"/>
        <w:gridCol w:w="352"/>
        <w:gridCol w:w="953"/>
        <w:gridCol w:w="346"/>
        <w:gridCol w:w="214"/>
        <w:gridCol w:w="68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972310" cy="175260"/>
                      <wp:effectExtent l="0" t="0" r="0" b="0"/>
                      <wp:wrapNone/>
                      <wp:docPr id="261" name="Frame261"/>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23520" cy="175260"/>
                      <wp:effectExtent l="0" t="0" r="0" b="0"/>
                      <wp:wrapNone/>
                      <wp:docPr id="263" name="Frame263"/>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05155" cy="175260"/>
                      <wp:effectExtent l="0" t="0" r="0" b="0"/>
                      <wp:wrapNone/>
                      <wp:docPr id="264" name="Frame264"/>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5890" cy="175260"/>
                      <wp:effectExtent l="0" t="0" r="0" b="0"/>
                      <wp:wrapNone/>
                      <wp:docPr id="266" name="Frame26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35610" cy="175260"/>
                      <wp:effectExtent l="0" t="0" r="0" b="0"/>
                      <wp:wrapNone/>
                      <wp:docPr id="267" name="Frame267"/>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00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55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in net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  ​</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Kronos Worldwide</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197.4</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NLI Holdings</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75.8</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 International</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 </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18.8</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BMI</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LandWell</w:t>
            </w:r>
          </w:p>
        </w:tc>
        <w:tc>
          <w:tcPr>
            <w:tcW w:w="346"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33.1</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340.5</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355.1</w:t>
            </w:r>
          </w:p>
        </w:tc>
      </w:tr>
    </w:tbl>
    <w:p>
      <w:pPr>
        <w:pStyle w:val="TextBody"/>
        <w:bidi w:val="0"/>
        <w:spacing w:before="0" w:after="40"/>
        <w:ind w:left="0" w:right="0" w:hanging="0"/>
        <w:jc w:val="left"/>
        <w:rPr/>
      </w:pPr>
      <w:r>
        <w:rPr/>
        <w:t>​</w:t>
      </w:r>
    </w:p>
    <w:tbl>
      <w:tblPr>
        <w:tblW w:w="6607" w:type="dxa"/>
        <w:jc w:val="left"/>
        <w:tblInd w:w="0" w:type="dxa"/>
        <w:tblLayout w:type="fixed"/>
        <w:tblCellMar>
          <w:top w:w="0" w:type="dxa"/>
          <w:left w:w="0" w:type="dxa"/>
          <w:bottom w:w="0" w:type="dxa"/>
          <w:right w:w="0" w:type="dxa"/>
        </w:tblCellMar>
      </w:tblPr>
      <w:tblGrid>
        <w:gridCol w:w="4456"/>
        <w:gridCol w:w="346"/>
        <w:gridCol w:w="211"/>
        <w:gridCol w:w="466"/>
        <w:gridCol w:w="346"/>
        <w:gridCol w:w="211"/>
        <w:gridCol w:w="571"/>
      </w:tblGrid>
      <w:tr>
        <w:trPr/>
        <w:tc>
          <w:tcPr>
            <w:tcW w:w="4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829560" cy="175260"/>
                      <wp:effectExtent l="0" t="0" r="0" b="0"/>
                      <wp:wrapNone/>
                      <wp:docPr id="268" name="Frame268"/>
                      <a:graphic xmlns:a="http://schemas.openxmlformats.org/drawingml/2006/main">
                        <a:graphicData uri="http://schemas.microsoft.com/office/word/2010/wordprocessingShape">
                          <wps:wsp>
                            <wps:cNvSpPr txBox="1"/>
                            <wps:spPr>
                              <a:xfrm>
                                <a:off x="0" y="0"/>
                                <a:ext cx="282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95910" cy="175260"/>
                      <wp:effectExtent l="0" t="0" r="0" b="0"/>
                      <wp:wrapNone/>
                      <wp:docPr id="271" name="Frame27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62585" cy="175260"/>
                      <wp:effectExtent l="0" t="0" r="0" b="0"/>
                      <wp:wrapNone/>
                      <wp:docPr id="274" name="Frame2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br/>
              <w:t>June 30,</w:t>
            </w:r>
          </w:p>
        </w:tc>
      </w:tr>
      <w:tr>
        <w:trPr/>
        <w:tc>
          <w:tcPr>
            <w:tcW w:w="4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60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0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in net income of subsidiaries: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Kronos Worldwide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NLI Holdings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 International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BMI</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LandWell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76">
                <wp:simplePos x="0" y="0"/>
                <wp:positionH relativeFrom="page">
                  <wp:posOffset>0</wp:posOffset>
                </wp:positionH>
                <wp:positionV relativeFrom="line">
                  <wp:posOffset>635</wp:posOffset>
                </wp:positionV>
                <wp:extent cx="6480175" cy="175260"/>
                <wp:effectExtent l="0" t="0" r="0" b="0"/>
                <wp:wrapNone/>
                <wp:docPr id="275"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bookmarkStart w:id="1304" w:name="Tc_sxyJxnDQqEyJxA6FPJzbHw_29_11"/>
      <w:bookmarkStart w:id="1305" w:name="Tc_2gOwbwBlvEO7pp0O3xDKgQ_29_8"/>
      <w:bookmarkStart w:id="1306" w:name="Tc_gNTCZWm--kWaodgNKr3kSA_29_5"/>
      <w:bookmarkStart w:id="1307" w:name="Tc_hygaB5rgh0ujPgImZFsZsw_29_2"/>
      <w:bookmarkStart w:id="1308" w:name="Tc_v9T_ZoJDIEm9qlbOv4QbZA_29_0"/>
      <w:bookmarkStart w:id="1309" w:name="Tc_mJ3ivZzkGES1BhFG2PhMrA_28_0"/>
      <w:bookmarkStart w:id="1310" w:name="Tc_Laf2hVz3nEej9Mp13dyLug_27_11"/>
      <w:bookmarkStart w:id="1311" w:name="Tc_RQ2xEiUAwk2jBSLFF3xuyw_27_8"/>
      <w:bookmarkStart w:id="1312" w:name="Tc_0GmNbncAn0KjjuIHBfpkNQ_27_5"/>
      <w:bookmarkStart w:id="1313" w:name="Tc_ot-LMEdN0kCw6sTBphjywA_27_2"/>
      <w:bookmarkStart w:id="1314" w:name="Tc_ZhpCFmOfY0uScaUfbsRreQ_27_0"/>
      <w:bookmarkStart w:id="1315" w:name="Tc_SgdZBohSU0K3RmYuXV_CLw_26_0"/>
      <w:bookmarkStart w:id="1316" w:name="Tc_q-BCpTAxyEiz8BaZHfOavQ_24_11"/>
      <w:bookmarkStart w:id="1317" w:name="Tc_ad082K5cz0Ct4E6iub34TQ_24_8"/>
      <w:bookmarkStart w:id="1318" w:name="Tc_2XxGytFN8kWuARwT_uPHoA_24_5"/>
      <w:bookmarkStart w:id="1319" w:name="Tc_L_e5gI6UO06tVQebA6Spzg_24_2"/>
      <w:bookmarkStart w:id="1320" w:name="Tc_fx-jlz-x-0-OARJhLl2eeg_24_0"/>
      <w:bookmarkStart w:id="1321" w:name="Tc_WCOBCrcgU0e1PsEGF4Gi9w_23_3"/>
      <w:bookmarkStart w:id="1322" w:name="Tc_hutuUrk-gUCzXRMrPf0nSw_23_0"/>
      <w:bookmarkStart w:id="1323" w:name="Tc_CrXfyFKRQU2DJv4VmgSPoA_22_0"/>
      <w:bookmarkStart w:id="1324" w:name="Tc_-0IyPuOakkKCpRod2Dkanw_21_11"/>
      <w:bookmarkStart w:id="1325" w:name="Tc_hwIshM3C_EqclWDm5-iDiA_21_8"/>
      <w:bookmarkStart w:id="1326" w:name="Tc_KoGmk0jhS0KQuCkoLvatsQ_21_5"/>
      <w:bookmarkStart w:id="1327" w:name="Tc_kWY9VL3FwEKUpcxeiamZYQ_21_2"/>
      <w:bookmarkStart w:id="1328" w:name="Tc_B7RX7TevR0qYvyyFC9rCYg_21_0"/>
      <w:bookmarkStart w:id="1329" w:name="Tc_Un8HUwwo60ef3n-0JRBoeA_20_0"/>
      <w:bookmarkStart w:id="1330" w:name="Tc_DQkCvO7bb0SuaP3t5Lvpew_18_11"/>
      <w:bookmarkStart w:id="1331" w:name="Tc_WjAwkHkkNU-FPeB-NOaQfQ_18_8"/>
      <w:bookmarkStart w:id="1332" w:name="Tc_hXjNCkdi20SycWYsk5j8uQ_18_5"/>
      <w:bookmarkStart w:id="1333" w:name="Tc_DAE4Z-Pt90adKIcAPrxU9A_18_2"/>
      <w:bookmarkStart w:id="1334" w:name="Tc_s-Y-3NViBU6z6duP5sEC0g_18_0"/>
      <w:bookmarkStart w:id="1335" w:name="Tc_uaKHRtc4ZU-XLV-yTG1Dig_17_0"/>
      <w:bookmarkStart w:id="1336" w:name="Tc_U4TzeVzMGka6sGwjLWZ6Wg_16_0"/>
      <w:bookmarkStart w:id="1337" w:name="Tc_69D-hCGcdU23YdgIIujzmQ_15_11"/>
      <w:bookmarkStart w:id="1338" w:name="Tc_t0XYGwt6NE2BKs5juu1xug_15_8"/>
      <w:bookmarkStart w:id="1339" w:name="Tc_5sQ4r-qKBEu2UTLZ-MgYlg_15_5"/>
      <w:bookmarkStart w:id="1340" w:name="Tc_CRTDrXVMCkmU9vl3O8Yl2g_15_2"/>
      <w:bookmarkStart w:id="1341" w:name="Tc_PdnjWA-83UOiXWPkpoGuYw_15_0"/>
      <w:bookmarkStart w:id="1342" w:name="Tc_9VZaz91mjEKuLBO-r3JTOg_14_0"/>
      <w:bookmarkStart w:id="1343" w:name="Tc_jHhKHzGODUOqhXXTse5F5w_12_11"/>
      <w:bookmarkStart w:id="1344" w:name="Tc_5CpZZn0prU-6Bl3Q41xdQA_12_8"/>
      <w:bookmarkStart w:id="1345" w:name="Tc_-lgK3omC1U68QqwDc1Q4Cg_12_5"/>
      <w:bookmarkStart w:id="1346" w:name="Tc_rG3Jo8vsQ06J0zepJl8DZw_12_2"/>
      <w:bookmarkStart w:id="1347" w:name="Tc_j2PxnwfGXEanEsNG1yqM-A_12_0"/>
      <w:bookmarkStart w:id="1348" w:name="Tc_rXX0jjvj1kiUPuQrFziW-A_11_0"/>
      <w:bookmarkStart w:id="1349" w:name="Tc_cPaDLq7G8UmK0wuF3nbIhQ_10_11"/>
      <w:bookmarkStart w:id="1350" w:name="Tc__0ob2JGgOEmagiS7i2J65A_10_8"/>
      <w:bookmarkStart w:id="1351" w:name="Tc_xWqqKluZVUGxKQKJocdxvg_10_5"/>
      <w:bookmarkStart w:id="1352" w:name="Tc_j0izTkVEhEmwnLOxLDd4Pw_10_2"/>
      <w:bookmarkStart w:id="1353" w:name="Tc_jyyOVPGnjUeS35YHjVva_Q_10_0"/>
      <w:bookmarkStart w:id="1354" w:name="Tc_7H5jR6DL502fxuRvWWbceQ_9_0"/>
      <w:bookmarkStart w:id="1355" w:name="Tc_pYnSfzwIbUOpzXoQHxFp2w_7_11"/>
      <w:bookmarkStart w:id="1356" w:name="Tc_dnCd4PgWLEGInInEoivhKw_7_8"/>
      <w:bookmarkStart w:id="1357" w:name="Tc_A0jbuzhjZkOmlGxtpwH6cw_7_5"/>
      <w:bookmarkStart w:id="1358" w:name="Tc_kbf_JGT8cEWCzoKO8HxSkA_7_2"/>
      <w:bookmarkStart w:id="1359" w:name="Tc_xwt8TuzuH0i8IeBcCiRWGg_7_0"/>
      <w:bookmarkStart w:id="1360" w:name="Tc_nXCAUxZm4k-YynkdkS0KAA_6_0"/>
      <w:bookmarkStart w:id="1361" w:name="Tc_DqX4E3_UIkOuSnEqFyBWZw_5_0"/>
      <w:bookmarkStart w:id="1362" w:name="Tc_TFnklZICmU28U0V0aDorjQ_4_2"/>
      <w:bookmarkStart w:id="1363" w:name="Tc_bZJoTN81HESk14u8SYmufw_3_11"/>
      <w:bookmarkStart w:id="1364" w:name="Tc__MeQDsf4G0yGf-_gtlPl0g_3_8"/>
      <w:bookmarkStart w:id="1365" w:name="Tc_yEEzptKKJEqdaIINQoyg0w_3_5"/>
      <w:bookmarkStart w:id="1366" w:name="Tc_s1vbSEQ2pECgeglMJG_vbA_3_2"/>
      <w:bookmarkStart w:id="1367" w:name="Tc_cwk0qfe6-02a1mKj7gAhdw_2_8"/>
      <w:bookmarkStart w:id="1368" w:name="Tc_e8TpzqjuYUS6z9xY1zJ4tw_2_2"/>
      <w:bookmarkStart w:id="1369" w:name="Tc_wyqtWQ2wAUicT49TIzaXWQ_1_8"/>
      <w:bookmarkStart w:id="1370" w:name="Tc_TMa5a0Q8qkeQwEBPDx4EyQ_1_2"/>
      <w:bookmarkStart w:id="1371" w:name="_e7b05b69_ac5c_47ba_90e2_cea95eecc252"/>
      <w:bookmarkStart w:id="1372" w:name="_96450510_d6b1_48b4_a4c4_a349043a9d9f"/>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r>
        <w:rPr>
          <w:rFonts w:ascii="Times New Roman;Times;serif" w:hAnsi="Times New Roman;Times;serif"/>
          <w:b/>
          <w:sz w:val="20"/>
        </w:rPr>
        <w:t>Note 15 – Stockholders’ equity: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Accumulated other comprehensive loss </w:t>
      </w:r>
      <w:r>
        <w:rPr>
          <w:rFonts w:ascii="Times New Roman;Times;serif" w:hAnsi="Times New Roman;Times;serif"/>
          <w:sz w:val="20"/>
        </w:rPr>
        <w:t>– Changes in accumulated other comprehensive income (loss) attributable to Valhi stockholders are presented in the table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77"/>
        <w:gridCol w:w="346"/>
        <w:gridCol w:w="211"/>
        <w:gridCol w:w="688"/>
        <w:gridCol w:w="346"/>
        <w:gridCol w:w="211"/>
        <w:gridCol w:w="688"/>
        <w:gridCol w:w="346"/>
        <w:gridCol w:w="211"/>
        <w:gridCol w:w="688"/>
        <w:gridCol w:w="346"/>
        <w:gridCol w:w="211"/>
        <w:gridCol w:w="736"/>
      </w:tblGrid>
      <w:tr>
        <w:trPr/>
        <w:tc>
          <w:tcPr>
            <w:tcW w:w="5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287395" cy="175260"/>
                      <wp:effectExtent l="0" t="0" r="0" b="0"/>
                      <wp:wrapNone/>
                      <wp:docPr id="276" name="Frame276"/>
                      <a:graphic xmlns:a="http://schemas.openxmlformats.org/drawingml/2006/main">
                        <a:graphicData uri="http://schemas.microsoft.com/office/word/2010/wordprocessingShape">
                          <wps:wsp>
                            <wps:cNvSpPr txBox="1"/>
                            <wps:spPr>
                              <a:xfrm>
                                <a:off x="0" y="0"/>
                                <a:ext cx="3287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36880" cy="175260"/>
                      <wp:effectExtent l="0" t="0" r="0" b="0"/>
                      <wp:wrapNone/>
                      <wp:docPr id="279" name="Frame279"/>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36880" cy="175260"/>
                      <wp:effectExtent l="0" t="0" r="0" b="0"/>
                      <wp:wrapNone/>
                      <wp:docPr id="282" name="Frame282"/>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36880" cy="175260"/>
                      <wp:effectExtent l="0" t="0" r="0" b="0"/>
                      <wp:wrapNone/>
                      <wp:docPr id="285" name="Frame285"/>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67360" cy="175260"/>
                      <wp:effectExtent l="0" t="0" r="0" b="0"/>
                      <wp:wrapNone/>
                      <wp:docPr id="288" name="Frame28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4"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192"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5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219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5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8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8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682"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5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Accumulated other comprehensive income (loss) (net of tax and </w:t>
              <w:br/>
              <w:t>  noncontrolling interest):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5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and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w:t>
            </w:r>
          </w:p>
        </w:tc>
      </w:tr>
      <w:tr>
        <w:trPr/>
        <w:tc>
          <w:tcPr>
            <w:tcW w:w="5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5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(90.1)</w:t>
            </w:r>
          </w:p>
        </w:tc>
      </w:tr>
      <w:tr>
        <w:trPr/>
        <w:tc>
          <w:tcPr>
            <w:tcW w:w="5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arising during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(0.1)</w:t>
            </w:r>
          </w:p>
        </w:tc>
      </w:tr>
      <w:tr>
        <w:trPr/>
        <w:tc>
          <w:tcPr>
            <w:tcW w:w="5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(90.2)</w:t>
            </w:r>
          </w:p>
        </w:tc>
      </w:tr>
      <w:tr>
        <w:trPr/>
        <w:tc>
          <w:tcPr>
            <w:tcW w:w="517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5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w:t>
            </w:r>
          </w:p>
        </w:tc>
      </w:tr>
      <w:tr>
        <w:trPr/>
        <w:tc>
          <w:tcPr>
            <w:tcW w:w="5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5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and net losses </w:t>
              <w:br/>
              <w:t>  included in net periodic pension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5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w:t>
            </w:r>
          </w:p>
        </w:tc>
      </w:tr>
      <w:tr>
        <w:trPr/>
        <w:tc>
          <w:tcPr>
            <w:tcW w:w="517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OPEB plans: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5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5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5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prior service credit and net losses </w:t>
            </w:r>
            <w:r>
              <w:rPr>
                <w:rFonts w:ascii="Helvetica;sans-serif" w:hAnsi="Helvetica;sans-serif"/>
                <w:sz w:val="20"/>
              </w:rPr>
              <w:br/>
            </w:r>
            <w:r>
              <w:rPr>
                <w:rFonts w:ascii="Times New Roman;Times;serif" w:hAnsi="Times New Roman;Times;serif"/>
                <w:sz w:val="20"/>
              </w:rPr>
              <w:t>  included in net periodic OPEB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5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r>
      <w:tr>
        <w:trPr/>
        <w:tc>
          <w:tcPr>
            <w:tcW w:w="517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accumulated other 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5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(105.8)</w:t>
            </w:r>
          </w:p>
        </w:tc>
      </w:tr>
      <w:tr>
        <w:trPr/>
        <w:tc>
          <w:tcPr>
            <w:tcW w:w="5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5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(105.5)</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90">
                <wp:simplePos x="0" y="0"/>
                <wp:positionH relativeFrom="page">
                  <wp:posOffset>0</wp:posOffset>
                </wp:positionH>
                <wp:positionV relativeFrom="line">
                  <wp:posOffset>635</wp:posOffset>
                </wp:positionV>
                <wp:extent cx="6480175" cy="175260"/>
                <wp:effectExtent l="0" t="0" r="0" b="0"/>
                <wp:wrapNone/>
                <wp:docPr id="289"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16 –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Lead pigment litigation – NLI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NLI’s former operations included the manufacture of lead pigments for use in paint and lead-based paint. NLI, other former manufacturers of lead pigments for use in paint and lead-based paint (together, the “former pigment manufacturers”), and the Lead Industries Association (“LIA”), which discontinued business operations in 2002, have previously been named as defendants in various legal proceedings seeking damages for personal injury, property damage and governmental expenditures allegedly caused by the use of lead-based paints. Certain of these actions were filed by or on behalf of states, counties, cities or their public housing authorities and school districts, and certain others were asserted as class actions. NLI currently has no pending lead paint class action cases or pending lead paint cases brought by housing authorities, school districts or other government entities.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New cases may continue to be filed against NLI. We do not know if we will incur liability in the future in respect to any of the pending or possible litigation in view of the inherent uncertainties involved in court and jury rulings. In the future, if new information regarding such matters becomes available to us (such as a final, non-appealable adverse verdict against NLI or otherwise ultimately being found liable with respect to such matters), at that time we would consider such information in evaluating any remaining cases then-pending against NLI as to whether it might then have become probable we have incurred liability with respect to these matters, and whether such liability, if any, could have become reasonably estimable. The resolution of any of these cases could result in the recognition of a loss contingency accrual that could have a material adverse impact on our net income for the interim or annual period during which such liability is recognized and a material adverse impact on our consolidated financial condition and liquidity.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Environmental matters and litigation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operations are governed by various environmental laws and regulations. Certain of our businesses are and have been engaged in the handling, manufacture or use of substances or compounds that may be considered toxic or hazardous within the meaning of applicable environmental laws and regulations. As with other companies engaged in similar businesses, certain of our past and current operations and products have the potential to cause environmental or other damage. Our businesses have implemented and continue to implement various policies and programs in an effort to minimize these risks. Our policy is to maintain compliance with applicable environmental laws and regulations at all of our plants and to strive to improve environmental performance. From time to time, our businesses may be subject to environmental regulatory enforcement under U.S. and non-U.S. statutes, the resolution of which typically involves the establishment or enhancement of compliance programs. It is possible that future developments, such as stricter requirements of environmental laws and enforcement policies, could adversely affect our production, handling, use, storage, transportation, sale or disposal of such substances. We believe all of our facilities are in substantial compliance with applicable environmental laws.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Certain properties and facilities used in our former operations (primarily NLI’s former operations), including divested primary and secondary lead smelters and former mining locations, are the subject of civil litigation, administrative proceedings or investigations arising under federal and state environmental laws and common law. Additionally, in connection with past operating practices, we are currently involved as a defendant, potentially responsible party (“PRP”) or both, pursuant to the Comprehensive Environmental Response, Compensation and Liability Act, as amended by the Superfund Amendments and Reauthorization Act (“CERCLA”), and similar state laws in various governmental and private actions associated with waste disposal sites, mining locations, and facilities that we or our predecessors, and NLI or its predecessors, our subsidiaries or their predecessors currently or previously owned, operated or used, certain of which are on the United States Environmental Protection Agency’s (“EPA”) Superfund National Priorities List or similar state lists. These proceedings seek cleanup costs, damages for personal injury or property damage and/or damages for injury to natural resources. Certain of these proceedings involve claims for substantial amounts. Although we may be jointly and severally liable for these costs, in most cases we are only one of a number of PRPs who may also be jointly and severally liable, and among whom costs may be shared or allocated. In addition, we are occasionally named as a party in a number of personal injury lawsuits filed in various jurisdictions alleging claims related to environmental conditions alleged to have resulted from our operations.</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91">
                <wp:simplePos x="0" y="0"/>
                <wp:positionH relativeFrom="page">
                  <wp:posOffset>0</wp:posOffset>
                </wp:positionH>
                <wp:positionV relativeFrom="line">
                  <wp:posOffset>635</wp:posOffset>
                </wp:positionV>
                <wp:extent cx="6480175" cy="175260"/>
                <wp:effectExtent l="0" t="0" r="0" b="0"/>
                <wp:wrapNone/>
                <wp:docPr id="290"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00"/>
        <w:ind w:left="0" w:right="0" w:firstLine="720"/>
        <w:jc w:val="both"/>
        <w:rPr>
          <w:rFonts w:ascii="Times New Roman;Times;serif" w:hAnsi="Times New Roman;Times;serif"/>
          <w:sz w:val="20"/>
        </w:rPr>
      </w:pPr>
      <w:bookmarkStart w:id="1373" w:name="Tc_2R6rPSkegEmpZoUisLOZwA_11_2"/>
      <w:bookmarkStart w:id="1374" w:name="Tc_LEQ9hl7IC0GbGcdD1oTT2A_11_0"/>
      <w:bookmarkStart w:id="1375" w:name="Tc_6DjYrYqXR0WCxrEig0yNxg_10_0"/>
      <w:bookmarkStart w:id="1376" w:name="Tc_aw3iPU4j4Ue12VbeMvczFg_9_2"/>
      <w:bookmarkStart w:id="1377" w:name="Tc_m81elMgxJkepj7PEHx8gzw_9_0"/>
      <w:bookmarkStart w:id="1378" w:name="Tc_j3MKwqD40UOY_3ttgZERWg_8_0"/>
      <w:bookmarkStart w:id="1379" w:name="Tc_-RqO2q0grUqFcl3-kDUgvg_7_2"/>
      <w:bookmarkStart w:id="1380" w:name="Tc_-PtvaUQnj06beeCSUCpIdw_7_0"/>
      <w:bookmarkStart w:id="1381" w:name="Tc_PhmrKnNqOUasfwSwjsl-6Q_6_0"/>
      <w:bookmarkStart w:id="1382" w:name="Tc_z4Oi-cvK4UOKcJZqvJOxmg_5_0"/>
      <w:bookmarkStart w:id="1383" w:name="Tc_QkXKqVIgIEigV1S1HCZiSQ_4_2"/>
      <w:bookmarkStart w:id="1384" w:name="Tc_zB9VkCmj6EWgzmj6fWvl1g_4_0"/>
      <w:bookmarkStart w:id="1385" w:name="Tc_1hvStTO_C0mOfl5UG3dJuw_2_2"/>
      <w:bookmarkStart w:id="1386" w:name="Tc_TewSHDNseUW15Y4XwCbggA_1_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r>
        <w:rPr>
          <w:rFonts w:ascii="Times New Roman;Times;serif" w:hAnsi="Times New Roman;Times;serif"/>
          <w:sz w:val="20"/>
        </w:rPr>
        <w:t>Obligations associated with environmental remediation and related matters are difficult to assess and estimate for numerous reasons including the:</w:t>
      </w:r>
    </w:p>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complexity and differing interpretations of governmental regulations,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PRPs and their ability or willingness to fund such allocation of costs,</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capabilities of the PRPs and the allocation of costs among them,</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solvency of other PRPs,</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multiplicity of possible solutions,</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years of investigatory, remedial and monitoring activity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over the extent, if any, to which our former operations might have contributed to the conditions allegedly giving rise to such personal injury, property damage, natural resource and related claims,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years between former operations and notice of claims and lack of information and documents about the former operations.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imposition of more stringent standards or requirements under environmental laws or regulations, new developments or changes regarding site cleanup costs or the allocation of costs among PRPs, solvency of other PRPs, the results of future testing and analysis undertaken with respect to certain sites or a determination that we are potentially responsible for the release of hazardous substances at other sites, could cause our expenditures to exceed our current estimates. Actual costs could exceed accrued amounts or the upper end of the range for sites for which estimates have been made, and costs may be incurred for sites where no estimates presently can be made. Further, additional environmental and related matters may arise in the future. If we were to incur any future liability, this could have a material adverse effect on our Condensed Consolidated Financial Statements, results of operations and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 liabilities related to environmental remediation and related matters (including costs associated with damages for personal injury or property damage and/or damages for injury to natural resources) when estimated future expenditures are probable and reasonably estimable. We adjust such accruals as further information becomes available to us or as circumstances change. Unless the amounts and timing of such estimated future expenditures are fixed and reasonably determinable, we generally do not discount estimated future expenditures to their present value due to the uncertainty of the timing of the payout. We recognize recoveries of costs from other parties, if any, as assets when their receipt is deemed probable.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know and cannot estimate the exact time frame over which we will make payments for our accrued environmental and related costs. The timing of payments depends upon a number of factors, including but not limited to the timing of the actual remediation process, which in turn depends on factors outside of our control. At each balance sheet date, we estimate the amount of the accrued environmental and related costs which we expect to pay within the next twelve months, and we classify this estimate as a current liability. We classify the remaining accrued environmental costs as a noncurrent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below presents a summary of the activity in our accrued environmental costs during the first six months of 2026.</w:t>
      </w:r>
    </w:p>
    <w:p>
      <w:pPr>
        <w:pStyle w:val="TextBody"/>
        <w:bidi w:val="0"/>
        <w:spacing w:before="0" w:after="0"/>
        <w:ind w:left="0" w:right="0" w:hanging="0"/>
        <w:jc w:val="left"/>
        <w:rPr/>
      </w:pPr>
      <w:r>
        <w:rPr/>
        <w:t>​</w:t>
      </w:r>
    </w:p>
    <w:tbl>
      <w:tblPr>
        <w:tblW w:w="7187" w:type="dxa"/>
        <w:jc w:val="left"/>
        <w:tblInd w:w="0" w:type="dxa"/>
        <w:tblLayout w:type="fixed"/>
        <w:tblCellMar>
          <w:top w:w="0" w:type="dxa"/>
          <w:left w:w="0" w:type="dxa"/>
          <w:bottom w:w="0" w:type="dxa"/>
          <w:right w:w="0" w:type="dxa"/>
        </w:tblCellMar>
      </w:tblPr>
      <w:tblGrid>
        <w:gridCol w:w="5656"/>
        <w:gridCol w:w="346"/>
        <w:gridCol w:w="318"/>
        <w:gridCol w:w="867"/>
      </w:tblGrid>
      <w:tr>
        <w:trPr/>
        <w:tc>
          <w:tcPr>
            <w:tcW w:w="5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591560" cy="175260"/>
                      <wp:effectExtent l="0" t="0" r="0" b="0"/>
                      <wp:wrapNone/>
                      <wp:docPr id="291" name="Frame291"/>
                      <a:graphic xmlns:a="http://schemas.openxmlformats.org/drawingml/2006/main">
                        <a:graphicData uri="http://schemas.microsoft.com/office/word/2010/wordprocessingShape">
                          <wps:wsp>
                            <wps:cNvSpPr txBox="1"/>
                            <wps:spPr>
                              <a:xfrm>
                                <a:off x="0" y="0"/>
                                <a:ext cx="3591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1930" cy="175260"/>
                      <wp:effectExtent l="0" t="0" r="0" b="0"/>
                      <wp:wrapNone/>
                      <wp:docPr id="293" name="Frame293"/>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50545" cy="175260"/>
                      <wp:effectExtent l="0" t="0" r="0" b="0"/>
                      <wp:wrapNone/>
                      <wp:docPr id="294" name="Frame294"/>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5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5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8"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left"/>
              <w:rPr/>
            </w:pPr>
            <w:r>
              <w:rPr/>
              <w:t>​</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beginning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charged to expense, net</w:t>
            </w:r>
          </w:p>
        </w:tc>
        <w:tc>
          <w:tcPr>
            <w:tcW w:w="34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net</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end of the period</w:t>
            </w:r>
          </w:p>
        </w:tc>
        <w:tc>
          <w:tcPr>
            <w:tcW w:w="346" w:type="dxa"/>
            <w:tcBorders/>
            <w:vAlign w:val="center"/>
          </w:tcPr>
          <w:p>
            <w:pPr>
              <w:pStyle w:val="TableContents"/>
              <w:bidi w:val="0"/>
              <w:spacing w:before="0" w:after="1"/>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Amounts recognized in the Condensed Consolidated Balance Sheet </w:t>
              <w:br/>
              <w:t>  at the end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pPr>
            <w:r>
              <w:rPr/>
              <w:t>  ​</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17.2</w:t>
            </w:r>
          </w:p>
        </w:tc>
      </w:tr>
    </w:tbl>
    <w:p>
      <w:pPr>
        <w:pStyle w:val="TextBody"/>
        <w:bidi w:val="0"/>
        <w:spacing w:before="0" w:after="0"/>
        <w:ind w:left="0" w:right="0" w:hanging="0"/>
        <w:jc w:val="left"/>
        <w:rPr/>
      </w:pPr>
      <w:r>
        <w:rPr/>
        <w:t>​</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 xml:space="preserve">NLI – </w:t>
      </w:r>
      <w:r>
        <w:rPr>
          <w:rFonts w:ascii="Times New Roman;Times;serif" w:hAnsi="Times New Roman;Times;serif"/>
          <w:sz w:val="20"/>
        </w:rPr>
        <w:t xml:space="preserve">On a quarterly basis, NLI evaluates the potential range of its liability for environmental remediation and related costs at sites where it has been named as a PRP or defendant. At June 30, 2026, NLI had accrued approximately $13 million related to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96">
                <wp:simplePos x="0" y="0"/>
                <wp:positionH relativeFrom="page">
                  <wp:posOffset>0</wp:posOffset>
                </wp:positionH>
                <wp:positionV relativeFrom="line">
                  <wp:posOffset>635</wp:posOffset>
                </wp:positionV>
                <wp:extent cx="6480175" cy="175260"/>
                <wp:effectExtent l="0" t="0" r="0" b="0"/>
                <wp:wrapNone/>
                <wp:docPr id="295"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approximately 27 sites associated with remediation and related matters it believes are at the present time and/or in their current phase reasonably estimable. The upper end of the range of reasonably possible costs to NLI for remediation and related matters for which NLI believes it is possible to estimate costs is approximately $38 million, including the amount currently accrued. These accruals have not been discounted to present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NLI believes that it is not reasonably possible to estimate the range of costs for certain sites. At June 30, 2026, there were approximately five sites for which NLI is not currently able to reasonably estimate a range of costs. For these sites, generally the investigation is in the early stages, and NLI is unable to determine whether or not NLI actually had any association with the site, the nature of its responsibility, if any, for the contamination at the site, if any, and the extent of contamination at and cost to remediate the site. The timing and availability of information on these sites is dependent on events outside of NLI’s control, such as when the party alleging liability provides information to NLI. At certain of these previously inactive sites, NLI has received general and special notices of liability from the EPA and/or state agencies alleging that NLI, sometimes with other PRPs, is liable for past and future costs of remediating environmental contamination allegedly caused by former operations. These notifications may assert that NLI, along with any other alleged PRPs, is liable for past and/or future clean-up costs. As further information becomes available to us for any of these sites which would allow us to estimate a range of costs, we would at that time adjust our accruals. Any such adjustment could result in the recognition of an accrual that would have a material effect on our consolidated financial statements, results of operations and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w:t>
      </w:r>
      <w:r>
        <w:rPr>
          <w:rFonts w:ascii="Times New Roman;Times;serif" w:hAnsi="Times New Roman;Times;serif"/>
          <w:sz w:val="20"/>
        </w:rPr>
        <w:t> – We have also accrued approximately $5 million at June 30, 2026 for other environmental cleanup matters which represents our best estimate of the liability.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Insurance coverage claims – NLI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NLI is involved in certain legal proceedings with a number of its former insurance carriers regarding the nature and extent of the carriers’ obligations to NLI under insurance policies with respect to certain lead pigment and asbestos lawsuits. The issue of whether insurance coverage for defense costs or indemnity or both will be found to exist for NLI’s lead pigment and asbestos litigation depends upon a variety of factors, and we cannot assure you that such insurance coverage will be available.</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NLI has agreements with certain of its former insurance carriers pursuant to which the carriers reimburse it for a portion of its future lead pigment litigation defense costs and one such carrier reimburses us for a portion of NLI’s future asbestos litigation defense costs. We are not able to determine how much NLI will ultimately recover from these carriers for defense costs incurred by NLI because of certain issues that arise regarding which defense costs qualify for reimbursement. While NLI continues to seek additional insurance recoveries, we do not know if we will be successful in obtaining reimbursement for either defense costs or indemnity. Accordingly, we recognize insurance recoveries in income only when receipt of the recovery is probable and we are able to reasonably estimate the amount of the recovery.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complete discussion of certain litigation involving NLI and certain of its former insurance carriers, refer to our 2025 Annual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litigation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the litigation described above, we and our affiliates are involved in various other environmental, contractual, product liability, patent (or intellectual property), employment and other claims and disputes incidental to our present and former businesses. In certain cases, we have insurance coverage for these items, although we do not expect additional material insurance coverage for our environmental matters. We currently believe the disposition of all of these various other claims and disputes (including asbestos-related claims), individually or in the aggregate, should not have a material adverse effect on our consolidated financial position, results of operations or liquidity beyond the accruals already provided.</w:t>
      </w:r>
    </w:p>
    <w:p>
      <w:pPr>
        <w:pStyle w:val="TextBody"/>
        <w:bidi w:val="0"/>
        <w:spacing w:before="24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97">
                <wp:simplePos x="0" y="0"/>
                <wp:positionH relativeFrom="page">
                  <wp:posOffset>0</wp:posOffset>
                </wp:positionH>
                <wp:positionV relativeFrom="line">
                  <wp:posOffset>635</wp:posOffset>
                </wp:positionV>
                <wp:extent cx="6480175" cy="175260"/>
                <wp:effectExtent l="0" t="0" r="0" b="0"/>
                <wp:wrapNone/>
                <wp:docPr id="296"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bookmarkStart w:id="1387" w:name="Tc_91HFQoO_mUirpupJUtKSTg_9_0"/>
      <w:bookmarkStart w:id="1388" w:name="Tc_SSpLJuyZsUu-JbSEeD5GgQ_8_6"/>
      <w:bookmarkStart w:id="1389" w:name="Tc_rBcOm-h2ZUmAO7iLJHPrww_8_3"/>
      <w:bookmarkStart w:id="1390" w:name="Tc_TWvz-RtTKkKPp-_1yd2Pyg_8_0"/>
      <w:bookmarkStart w:id="1391" w:name="Tc_OgbPzUkIRkuvmXXE8fgyjg_7_0"/>
      <w:bookmarkStart w:id="1392" w:name="Tc_tZ8Ur4B37U6c-oDSL0EnUg_6_0"/>
      <w:bookmarkStart w:id="1393" w:name="Tc_m2boeBzt00W6LvZQ5EFgqQ_5_11"/>
      <w:bookmarkStart w:id="1394" w:name="Tc_d9E54BIBq0-9piQsSC4B9Q_5_8"/>
      <w:bookmarkStart w:id="1395" w:name="Tc_j6NskEugAEiCDduV0dbWCA_5_5"/>
      <w:bookmarkStart w:id="1396" w:name="Tc_8ErP9VgAh0W0--jJp0rWnA_5_2"/>
      <w:bookmarkStart w:id="1397" w:name="Tc_9eokUlXBVUeN_vGPteSt-Q_5_0"/>
      <w:bookmarkStart w:id="1398" w:name="Tc_bUINAzmBb0i5c9ht2Ay3cw_4_2"/>
      <w:bookmarkStart w:id="1399" w:name="Tc_5wl3dwss9k6KLCN7KtE7Bg_3_11"/>
      <w:bookmarkStart w:id="1400" w:name="Tc_9nGAGpzROEusMnm5qUJSNQ_3_8"/>
      <w:bookmarkStart w:id="1401" w:name="Tc_-qmU4TN74kqr06OwWdMnZQ_3_5"/>
      <w:bookmarkStart w:id="1402" w:name="Tc_j5A1JNohSkigSh9SAjRy-g_3_2"/>
      <w:bookmarkStart w:id="1403" w:name="Tc_LGNaqBb0jU-KmHPmwZIctQ_2_11"/>
      <w:bookmarkStart w:id="1404" w:name="Tc_RIQkA8EYV0e-5UB1aTnOEw_2_8"/>
      <w:bookmarkStart w:id="1405" w:name="Tc_mGVNozPQN0yOxLJnWIDNAg_2_5"/>
      <w:bookmarkStart w:id="1406" w:name="Tc_V7GjAXZlkU2_Zq5ejS7BAw_2_2"/>
      <w:bookmarkStart w:id="1407" w:name="Tc_cAqZCioRWEaFI-fbMif8QA_1_8"/>
      <w:bookmarkStart w:id="1408" w:name="Tc_2tuXAdJVBkOxP66pR6nlFg_1_2"/>
      <w:bookmarkStart w:id="1409" w:name="Tc_8kMNK2_lT0Sm4FKy0gDUZw_14_11"/>
      <w:bookmarkStart w:id="1410" w:name="Tc_Pwb-MjmOUkKYfGpOWtL9hg_14_0"/>
      <w:bookmarkStart w:id="1411" w:name="Tc_zBKLI4bXVUKHkJgmueVxEA_13_11"/>
      <w:bookmarkStart w:id="1412" w:name="Tc_vyvB3Lnd1Eeg_Ke3QOw9Qw_13_10"/>
      <w:bookmarkStart w:id="1413" w:name="Tc_84I5AxXA90yHy8ADRIz6uA_13_7"/>
      <w:bookmarkStart w:id="1414" w:name="Tc_u2jaM9Fp-kyNfHn6VZbYAg_13_5"/>
      <w:bookmarkStart w:id="1415" w:name="Tc_TKKsl09IM0CBdSMEaCjHbQ_13_4"/>
      <w:bookmarkStart w:id="1416" w:name="Tc_5m36FRkmZUib7nmdbrDsEg_13_1"/>
      <w:bookmarkStart w:id="1417" w:name="Tc_rpnAlC2ZvEqJ39l2T7grNw_13_0"/>
      <w:bookmarkStart w:id="1418" w:name="Tc_7k_ttILtvEueBtfo9LQlvw_12_0"/>
      <w:bookmarkStart w:id="1419" w:name="Tc_N38t3ZYfw0ivxEjQcU2vUg_11_11"/>
      <w:bookmarkStart w:id="1420" w:name="Tc_gNZ9AIrTMU2E9zjcmZLEpg_11_0"/>
      <w:bookmarkStart w:id="1421" w:name="Tc_ywg4wk7_3E2YdT6XVJBz7w_10_11"/>
      <w:bookmarkStart w:id="1422" w:name="Tc_tsZ1IIEEbEmNNGxw2BiQVQ_10_10"/>
      <w:bookmarkStart w:id="1423" w:name="Tc_bZ4Yjz9d00m3YsLn9fKsrQ_10_7"/>
      <w:bookmarkStart w:id="1424" w:name="Tc_hJJJWlhAg0ecSDtv4aRg8A_10_5"/>
      <w:bookmarkStart w:id="1425" w:name="Tc_7vOglB4i6kGzrvqNv_lWSw_10_4"/>
      <w:bookmarkStart w:id="1426" w:name="Tc_9_wLdMrNCkCBwF4n--1PFQ_10_1"/>
      <w:bookmarkStart w:id="1427" w:name="Tc_mKqGJm9HnUupUwgwSptaFQ_10_0"/>
      <w:bookmarkStart w:id="1428" w:name="Tc_eFu3UWOh5EKqOCVH06ws9Q_9_0"/>
      <w:bookmarkStart w:id="1429" w:name="Tc_-EaSs9DMZECAX17L3HrXzA_8_0"/>
      <w:bookmarkStart w:id="1430" w:name="Tc_T-IFRDlFj0GfFbAAmFqA9w_7_1"/>
      <w:bookmarkStart w:id="1431" w:name="Tc_FLfPRjnAdUmdFBARR_XXxA_6_11"/>
      <w:bookmarkStart w:id="1432" w:name="Tc_TDcpZ8PxLka8kz4ojzw70A_6_8"/>
      <w:bookmarkStart w:id="1433" w:name="Tc_d5dGpsQceUmyDDYEurbvVA_6_5"/>
      <w:bookmarkStart w:id="1434" w:name="Tc_mgoI2E6LxkCTR-LDEvsfVg_6_2"/>
      <w:bookmarkStart w:id="1435" w:name="Tc_miLZneetRUmmPIa26xw7uw_5_11"/>
      <w:bookmarkStart w:id="1436" w:name="Tc_wFjamw0sI0G-qFaOS9jIuQ_5_8"/>
      <w:bookmarkStart w:id="1437" w:name="Tc_w3gUFUbzaki7K9clcTNJrg_5_5"/>
      <w:bookmarkStart w:id="1438" w:name="Tc_KaDIKbHLnESSceyVtd-Cpg_4_11"/>
      <w:bookmarkStart w:id="1439" w:name="Tc_YgfT4FlRlEae6LYwqYti7A_4_8"/>
      <w:bookmarkStart w:id="1440" w:name="Tc_CNKl99gruUKuhaLq4KnJEA_4_5"/>
      <w:bookmarkStart w:id="1441" w:name="Tc_SFnA0mw2S0KrxyYKouMCrQ_3_11"/>
      <w:bookmarkStart w:id="1442" w:name="Tc_9Tac7o_mL0KZ9zKfqSao-g_3_8"/>
      <w:bookmarkStart w:id="1443" w:name="Tc_sHzgHY8qQkWae74l7E77_w_3_5"/>
      <w:bookmarkStart w:id="1444" w:name="Tc_QYeKOmRuoUe_zn26i2n0Eg_2_8"/>
      <w:bookmarkStart w:id="1445" w:name="Tc_SaHHRiG_2kiOQ4WfLg3daQ_2_5"/>
      <w:bookmarkStart w:id="1446" w:name="Tc_KuEs7B6Wc0OC5FU49kwU-w_1_1"/>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r>
        <w:rPr>
          <w:rFonts w:ascii="Times New Roman;Times;serif" w:hAnsi="Times New Roman;Times;serif"/>
          <w:b/>
          <w:sz w:val="20"/>
        </w:rPr>
        <w:t>Note 17 – Fair value measurements and financial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valuation of our financial instruments recorded on a fair value basis as of December 31, 2025 and June 30, 2026:</w:t>
      </w:r>
    </w:p>
    <w:p>
      <w:pPr>
        <w:pStyle w:val="TextBody"/>
        <w:bidi w:val="0"/>
        <w:spacing w:before="0" w:after="0"/>
        <w:ind w:left="0" w:right="0" w:hanging="0"/>
        <w:jc w:val="left"/>
        <w:rPr/>
      </w:pPr>
      <w:r>
        <w:rPr/>
        <w:t>​</w:t>
      </w:r>
    </w:p>
    <w:tbl>
      <w:tblPr>
        <w:tblW w:w="7791" w:type="dxa"/>
        <w:jc w:val="left"/>
        <w:tblInd w:w="0" w:type="dxa"/>
        <w:tblLayout w:type="fixed"/>
        <w:tblCellMar>
          <w:top w:w="0" w:type="dxa"/>
          <w:left w:w="0" w:type="dxa"/>
          <w:bottom w:w="0" w:type="dxa"/>
          <w:right w:w="0" w:type="dxa"/>
        </w:tblCellMar>
      </w:tblPr>
      <w:tblGrid>
        <w:gridCol w:w="2836"/>
        <w:gridCol w:w="211"/>
        <w:gridCol w:w="571"/>
        <w:gridCol w:w="109"/>
        <w:gridCol w:w="211"/>
        <w:gridCol w:w="856"/>
        <w:gridCol w:w="109"/>
        <w:gridCol w:w="211"/>
        <w:gridCol w:w="1066"/>
        <w:gridCol w:w="109"/>
        <w:gridCol w:w="211"/>
        <w:gridCol w:w="1291"/>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800860" cy="175260"/>
                      <wp:effectExtent l="0" t="0" r="0" b="0"/>
                      <wp:wrapNone/>
                      <wp:docPr id="297" name="Frame297"/>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62585" cy="175260"/>
                      <wp:effectExtent l="0" t="0" r="0" b="0"/>
                      <wp:wrapNone/>
                      <wp:docPr id="299" name="Frame29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43560" cy="175260"/>
                      <wp:effectExtent l="0" t="0" r="0" b="0"/>
                      <wp:wrapNone/>
                      <wp:docPr id="302" name="Frame30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76910" cy="175260"/>
                      <wp:effectExtent l="0" t="0" r="0" b="0"/>
                      <wp:wrapNone/>
                      <wp:docPr id="305" name="Frame305"/>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215" cy="175260"/>
                      <wp:effectExtent l="0" t="0" r="0" b="0"/>
                      <wp:wrapNone/>
                      <wp:docPr id="306" name="Frame3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819785" cy="175260"/>
                      <wp:effectExtent l="0" t="0" r="0" b="0"/>
                      <wp:wrapNone/>
                      <wp:docPr id="308" name="Frame308"/>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495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Measurements</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Quoted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Significant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prices in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Significant </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active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observable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unobservable</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input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inputs</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r>
      <w:tr>
        <w:trPr/>
        <w:tc>
          <w:tcPr>
            <w:tcW w:w="7791"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pPr>
            <w:r>
              <w:rPr/>
              <w:t>​</w:t>
            </w:r>
          </w:p>
        </w:tc>
        <w:tc>
          <w:tcPr>
            <w:tcW w:w="4955"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(liability)</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marketable securities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0"/>
              <w:ind w:left="0" w:right="0" w:hanging="0"/>
              <w:jc w:val="righ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Noncurrent marketable securities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marketable securities</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91" w:type="dxa"/>
            <w:tcBorders/>
            <w:vAlign w:val="center"/>
          </w:tcPr>
          <w:p>
            <w:pPr>
              <w:pStyle w:val="TableContents"/>
              <w:bidi w:val="0"/>
              <w:spacing w:before="0" w:after="0"/>
              <w:ind w:left="0" w:right="0" w:hanging="0"/>
              <w:jc w:val="righ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Noncurrent marketable securities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See Note 5 for amounts related to our marketable securities.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financial instruments that are not carried at fair value but which require fair value disclosure:</w:t>
      </w:r>
    </w:p>
    <w:p>
      <w:pPr>
        <w:pStyle w:val="TextBody"/>
        <w:bidi w:val="0"/>
        <w:spacing w:before="0" w:after="0"/>
        <w:ind w:left="0" w:right="0" w:hanging="0"/>
        <w:jc w:val="left"/>
        <w:rPr/>
      </w:pPr>
      <w:r>
        <w:rPr/>
        <w:t>​</w:t>
      </w:r>
    </w:p>
    <w:tbl>
      <w:tblPr>
        <w:tblW w:w="9014" w:type="dxa"/>
        <w:jc w:val="left"/>
        <w:tblInd w:w="0" w:type="dxa"/>
        <w:tblLayout w:type="fixed"/>
        <w:tblCellMar>
          <w:top w:w="0" w:type="dxa"/>
          <w:left w:w="0" w:type="dxa"/>
          <w:bottom w:w="0" w:type="dxa"/>
          <w:right w:w="0" w:type="dxa"/>
        </w:tblCellMar>
      </w:tblPr>
      <w:tblGrid>
        <w:gridCol w:w="4666"/>
        <w:gridCol w:w="346"/>
        <w:gridCol w:w="243"/>
        <w:gridCol w:w="658"/>
        <w:gridCol w:w="112"/>
        <w:gridCol w:w="217"/>
        <w:gridCol w:w="589"/>
        <w:gridCol w:w="346"/>
        <w:gridCol w:w="243"/>
        <w:gridCol w:w="658"/>
        <w:gridCol w:w="109"/>
        <w:gridCol w:w="211"/>
        <w:gridCol w:w="616"/>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962910" cy="175260"/>
                      <wp:effectExtent l="0" t="0" r="0" b="0"/>
                      <wp:wrapNone/>
                      <wp:docPr id="309" name="Frame309"/>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54305" cy="175260"/>
                      <wp:effectExtent l="0" t="0" r="0" b="0"/>
                      <wp:wrapNone/>
                      <wp:docPr id="311" name="Frame311"/>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17830" cy="175260"/>
                      <wp:effectExtent l="0" t="0" r="0" b="0"/>
                      <wp:wrapNone/>
                      <wp:docPr id="312" name="Frame312"/>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71120" cy="175260"/>
                      <wp:effectExtent l="0" t="0" r="0" b="0"/>
                      <wp:wrapNone/>
                      <wp:docPr id="313" name="Frame313"/>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7795" cy="175260"/>
                      <wp:effectExtent l="0" t="0" r="0" b="0"/>
                      <wp:wrapNone/>
                      <wp:docPr id="314" name="Frame314"/>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74015" cy="175260"/>
                      <wp:effectExtent l="0" t="0" r="0" b="0"/>
                      <wp:wrapNone/>
                      <wp:docPr id="315" name="Frame315"/>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54305" cy="175260"/>
                      <wp:effectExtent l="0" t="0" r="0" b="0"/>
                      <wp:wrapNone/>
                      <wp:docPr id="317" name="Frame317"/>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17830" cy="175260"/>
                      <wp:effectExtent l="0" t="0" r="0" b="0"/>
                      <wp:wrapNone/>
                      <wp:docPr id="318" name="Frame318"/>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9" name="Frame3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91160" cy="175260"/>
                      <wp:effectExtent l="0" t="0" r="0" b="0"/>
                      <wp:wrapNone/>
                      <wp:docPr id="321" name="Frame32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81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1"/>
              <w:ind w:left="0" w:right="0" w:hanging="0"/>
              <w:jc w:val="left"/>
              <w:rPr/>
            </w:pPr>
            <w:r>
              <w:rPr/>
              <w:t>  ​ ​ ​</w:t>
            </w:r>
          </w:p>
        </w:tc>
        <w:tc>
          <w:tcPr>
            <w:tcW w:w="183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r>
      <w:tr>
        <w:trPr/>
        <w:tc>
          <w:tcPr>
            <w:tcW w:w="4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112" w:type="dxa"/>
            <w:tcBorders/>
            <w:vAlign w:val="center"/>
          </w:tcPr>
          <w:p>
            <w:pPr>
              <w:pStyle w:val="TableContents"/>
              <w:bidi w:val="0"/>
              <w:spacing w:before="0" w:after="1"/>
              <w:ind w:left="0" w:right="0" w:hanging="0"/>
              <w:jc w:val="left"/>
              <w:rPr/>
            </w:pPr>
            <w:r>
              <w:rPr/>
              <w:t>​</w:t>
            </w:r>
          </w:p>
        </w:tc>
        <w:tc>
          <w:tcPr>
            <w:tcW w:w="80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109" w:type="dxa"/>
            <w:tcBorders/>
            <w:vAlign w:val="center"/>
          </w:tcPr>
          <w:p>
            <w:pPr>
              <w:pStyle w:val="TableContents"/>
              <w:bidi w:val="0"/>
              <w:spacing w:before="0" w:after="1"/>
              <w:ind w:left="0" w:right="0" w:hanging="0"/>
              <w:jc w:val="left"/>
              <w:rPr/>
            </w:pPr>
            <w:r>
              <w:rPr/>
              <w:t>​</w:t>
            </w:r>
          </w:p>
        </w:tc>
        <w:tc>
          <w:tcPr>
            <w:tcW w:w="82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4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112" w:type="dxa"/>
            <w:tcBorders/>
            <w:vAlign w:val="center"/>
          </w:tcPr>
          <w:p>
            <w:pPr>
              <w:pStyle w:val="TableContents"/>
              <w:bidi w:val="0"/>
              <w:spacing w:before="0" w:after="1"/>
              <w:ind w:left="0" w:right="0" w:hanging="0"/>
              <w:jc w:val="left"/>
              <w:rPr/>
            </w:pPr>
            <w:r>
              <w:rPr/>
              <w:t>​</w:t>
            </w:r>
          </w:p>
        </w:tc>
        <w:tc>
          <w:tcPr>
            <w:tcW w:w="8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109" w:type="dxa"/>
            <w:tcBorders/>
            <w:vAlign w:val="center"/>
          </w:tcPr>
          <w:p>
            <w:pPr>
              <w:pStyle w:val="TableContents"/>
              <w:bidi w:val="0"/>
              <w:spacing w:before="0" w:after="1"/>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901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02"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228.7</w:t>
            </w:r>
          </w:p>
        </w:tc>
        <w:tc>
          <w:tcPr>
            <w:tcW w:w="112"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228.7</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222.3</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pPr>
            <w:r>
              <w:rPr/>
              <w:t>​</w:t>
            </w:r>
          </w:p>
        </w:tc>
        <w:tc>
          <w:tcPr>
            <w:tcW w:w="112"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5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 fixed rate 9.50% Senior Secured Notes due 2029</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503.7</w:t>
            </w:r>
          </w:p>
        </w:tc>
        <w:tc>
          <w:tcPr>
            <w:tcW w:w="112"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469.9</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487.7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478.8</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 revolving credit facility</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112"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28.2</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LandWell bank note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112"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10.3</w:t>
            </w:r>
          </w:p>
        </w:tc>
      </w:tr>
    </w:tbl>
    <w:p>
      <w:pPr>
        <w:pStyle w:val="TextBody"/>
        <w:bidi w:val="0"/>
        <w:spacing w:before="0" w:after="0"/>
        <w:ind w:left="0" w:right="0" w:hanging="0"/>
        <w:jc w:val="left"/>
        <w:rPr/>
      </w:pPr>
      <w:r>
        <w:rPr/>
        <w:t>​</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At December 31, 2025 and June 30, 2026, the estimated market price of Kronos’ 9.50% Senior Secured Notes due 2029 was €937 and €986 per €1,000 principal amount, respectively. The fair value of Kronos’ Senior Secured Notes due 2029 were based on quoted market prices; however, these prices represented Level 2 inputs because the market in which the notes trade was not active. Due to the variable interest rate, the carrying amount </w:t>
      </w:r>
      <w:r>
        <w:rPr>
          <w:rFonts w:ascii="Times New Roman;Times;serif" w:hAnsi="Times New Roman;Times;serif"/>
          <w:sz w:val="20"/>
          <w:shd w:fill="FFFFFF" w:val="clear"/>
        </w:rPr>
        <w:t xml:space="preserve">of Kronos’ revolving credit facility is deemed to approximate fair value. </w:t>
      </w:r>
      <w:r>
        <w:rPr>
          <w:rFonts w:ascii="Times New Roman;Times;serif" w:hAnsi="Times New Roman;Times;serif"/>
          <w:sz w:val="20"/>
        </w:rPr>
        <w:t>The fair value of other fixed-rate debt, which represents Level 2 inputs, is deemed to approximate carrying value. See Note 7. Due to their near-term maturities, the carrying amounts of accounts receivable and accounts payable are considered equivalent to fair value. See Notes 3 and 8.</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Note 18 – Restructuring costs:</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In the fourth quarter of 2025, Kronos initiated a restructuring plan through workforce reductions which is supporting an improved current and longer-term cost structure. These workforce reductions impacted approximately 226 positions with a</w:t>
      </w:r>
      <w:r>
        <w:rPr>
          <w:rFonts w:ascii="Times New Roman;Times;serif" w:hAnsi="Times New Roman;Times;serif"/>
          <w:sz w:val="20"/>
        </w:rPr>
        <w:t xml:space="preserve"> substantial portion of such reductions accomplished through involuntary programs. A portion of the reductions was also accomplished through voluntary programs, for which eligible workforce reduction costs were recognized at the time both the employee and employer were irrevocably committed to the terms of the separation. During the fourth quarter of 2025, Kronos recognized an aggregate $10.3 million charge related to these workforce reductions. </w:t>
      </w:r>
      <w:r>
        <w:rPr>
          <w:rFonts w:ascii="Times New Roman;Times;serif" w:hAnsi="Times New Roman;Times;serif"/>
          <w:sz w:val="20"/>
          <w:shd w:fill="FFFFFF" w:val="clear"/>
        </w:rPr>
        <w:t>Accrued severance costs remaining at June 30, 2026 are expected to be substantially paid in 2026 and are included in accounts payable and accrued liabilities on our Condensed Consolidated Balance Sheet. See Note 8. Kronos</w:t>
      </w:r>
      <w:r>
        <w:rPr>
          <w:rFonts w:ascii="Times New Roman;Times;serif" w:hAnsi="Times New Roman;Times;serif"/>
          <w:sz w:val="20"/>
        </w:rPr>
        <w:t xml:space="preserve"> does not expect to accrue any further material amounts for the workforce reductions. </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23">
                <wp:simplePos x="0" y="0"/>
                <wp:positionH relativeFrom="page">
                  <wp:posOffset>0</wp:posOffset>
                </wp:positionH>
                <wp:positionV relativeFrom="line">
                  <wp:posOffset>635</wp:posOffset>
                </wp:positionV>
                <wp:extent cx="6480175" cy="175260"/>
                <wp:effectExtent l="0" t="0" r="0" b="0"/>
                <wp:wrapNone/>
                <wp:docPr id="322"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firstLine="720"/>
        <w:jc w:val="both"/>
        <w:rPr>
          <w:rFonts w:ascii="Times New Roman;Times;serif" w:hAnsi="Times New Roman;Times;serif"/>
          <w:sz w:val="20"/>
        </w:rPr>
      </w:pPr>
      <w:bookmarkStart w:id="1447" w:name="Tc_0poI8Ry7bkmfCvS9TH9Z0Q_7_2"/>
      <w:bookmarkStart w:id="1448" w:name="Tc_gBzWlmAztEO04hmqBrARIg_7_0"/>
      <w:bookmarkStart w:id="1449" w:name="Tc_6LdkNY9qkkCIQQtnzX9Zcg_6_0"/>
      <w:bookmarkStart w:id="1450" w:name="Tc_hQ1t3sNyB0SWPSFy0w868A_5_0"/>
      <w:bookmarkStart w:id="1451" w:name="Tc_7oMTZVp3mUqOa7LwNi1zrA_4_3"/>
      <w:bookmarkStart w:id="1452" w:name="Tc_l1pQBleCbk2FSo5cNSV0zw_4_0"/>
      <w:bookmarkStart w:id="1453" w:name="Tc_cHX9QRj9aEiNnDKGojS-rA_3_2"/>
      <w:bookmarkStart w:id="1454" w:name="Tc_l2IGVf2ipUS1Jnpbkk8RxA_3_0"/>
      <w:bookmarkStart w:id="1455" w:name="Tc_NH3EvLjRAk22jlNoS1IEGA_2_2"/>
      <w:bookmarkStart w:id="1456" w:name="Tc_L33-25MUHk6rzadwG_uEzA_1_2"/>
      <w:bookmarkEnd w:id="1447"/>
      <w:bookmarkEnd w:id="1448"/>
      <w:bookmarkEnd w:id="1449"/>
      <w:bookmarkEnd w:id="1450"/>
      <w:bookmarkEnd w:id="1451"/>
      <w:bookmarkEnd w:id="1452"/>
      <w:bookmarkEnd w:id="1453"/>
      <w:bookmarkEnd w:id="1454"/>
      <w:bookmarkEnd w:id="1455"/>
      <w:bookmarkEnd w:id="1456"/>
      <w:r>
        <w:rPr>
          <w:rFonts w:ascii="Times New Roman;Times;serif" w:hAnsi="Times New Roman;Times;serif"/>
          <w:sz w:val="20"/>
        </w:rPr>
        <w:t>A summary of the activity in Kronos’ accrued restructuring costs for the first six months of 2026 is shown in the table below:</w:t>
      </w:r>
    </w:p>
    <w:p>
      <w:pPr>
        <w:pStyle w:val="TextBody"/>
        <w:bidi w:val="0"/>
        <w:spacing w:before="0" w:after="0"/>
        <w:ind w:left="0" w:right="0" w:hanging="0"/>
        <w:jc w:val="left"/>
        <w:rPr/>
      </w:pPr>
      <w:r>
        <w:rPr/>
        <w:t>​</w:t>
      </w:r>
    </w:p>
    <w:tbl>
      <w:tblPr>
        <w:tblW w:w="6035" w:type="dxa"/>
        <w:jc w:val="left"/>
        <w:tblInd w:w="0" w:type="dxa"/>
        <w:tblLayout w:type="fixed"/>
        <w:tblCellMar>
          <w:top w:w="0" w:type="dxa"/>
          <w:left w:w="0" w:type="dxa"/>
          <w:bottom w:w="0" w:type="dxa"/>
          <w:right w:w="0" w:type="dxa"/>
        </w:tblCellMar>
      </w:tblPr>
      <w:tblGrid>
        <w:gridCol w:w="4741"/>
        <w:gridCol w:w="109"/>
        <w:gridCol w:w="368"/>
        <w:gridCol w:w="817"/>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010535" cy="175260"/>
                      <wp:effectExtent l="0" t="0" r="0" b="0"/>
                      <wp:wrapNone/>
                      <wp:docPr id="323" name="Frame323"/>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9215" cy="175260"/>
                      <wp:effectExtent l="0" t="0" r="0" b="0"/>
                      <wp:wrapNone/>
                      <wp:docPr id="324" name="Frame3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33680" cy="175260"/>
                      <wp:effectExtent l="0" t="0" r="0" b="0"/>
                      <wp:wrapNone/>
                      <wp:docPr id="325" name="Frame325"/>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18795" cy="175260"/>
                      <wp:effectExtent l="0" t="0" r="0" b="0"/>
                      <wp:wrapNone/>
                      <wp:docPr id="326" name="Frame326"/>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4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workforce reduction costs at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Workforce reduction costs accrued</w:t>
            </w:r>
          </w:p>
        </w:tc>
        <w:tc>
          <w:tcPr>
            <w:tcW w:w="109"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pPr>
            <w:r>
              <w:rPr/>
              <w:t>—</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Workforce reduction costs paid</w:t>
            </w:r>
          </w:p>
        </w:tc>
        <w:tc>
          <w:tcPr>
            <w:tcW w:w="109"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 adjustments, net</w:t>
            </w:r>
          </w:p>
        </w:tc>
        <w:tc>
          <w:tcPr>
            <w:tcW w:w="109" w:type="dxa"/>
            <w:tcBorders/>
            <w:vAlign w:val="center"/>
          </w:tcPr>
          <w:p>
            <w:pPr>
              <w:pStyle w:val="TableContents"/>
              <w:bidi w:val="0"/>
              <w:spacing w:before="0" w:after="1"/>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balance at June 30, 2026</w:t>
            </w:r>
          </w:p>
        </w:tc>
        <w:tc>
          <w:tcPr>
            <w:tcW w:w="109" w:type="dxa"/>
            <w:tcBorders/>
            <w:shd w:fill="CCEEFF" w:val="clear"/>
            <w:vAlign w:val="center"/>
          </w:tcPr>
          <w:p>
            <w:pPr>
              <w:pStyle w:val="TableContents"/>
              <w:bidi w:val="0"/>
              <w:spacing w:before="0" w:after="1"/>
              <w:ind w:left="0" w:right="0" w:hanging="0"/>
              <w:jc w:val="left"/>
              <w:rPr/>
            </w:pPr>
            <w:r>
              <w:rPr/>
              <w:t>​</w:t>
            </w:r>
          </w:p>
        </w:tc>
        <w:tc>
          <w:tcPr>
            <w:tcW w:w="3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19 – Recent accounting pronouncements: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Reporting Comprehensive Income - Expense Disaggregation Disclosures</w:t>
      </w:r>
      <w:r>
        <w:rPr>
          <w:rFonts w:ascii="Times New Roman;Times;serif" w:hAnsi="Times New Roman;Times;serif"/>
          <w:sz w:val="20"/>
        </w:rPr>
        <w:t>. The ASU requires additional information about specific expense categories in the notes to financial statements for both interim and annual reporting periods. The ASU is effective for us beginning with our 2027 Annual Report, and for interim reporting, in the first quarter of 2028, with early adoption permitted. We are in the process of evaluating the additional disclosure requirements.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In May 2026, the FASB issued ASU No. 2026-02, </w:t>
      </w:r>
      <w:r>
        <w:rPr>
          <w:rFonts w:ascii="Times New Roman;Times;serif" w:hAnsi="Times New Roman;Times;serif"/>
          <w:i/>
          <w:sz w:val="20"/>
        </w:rPr>
        <w:t>Environmental Credits and Environmental Credit Obligations</w:t>
      </w:r>
      <w:r>
        <w:rPr>
          <w:rFonts w:ascii="Times New Roman;Times;serif" w:hAnsi="Times New Roman;Times;serif"/>
          <w:sz w:val="20"/>
        </w:rPr>
        <w:t>, which establishes guidance for the recognition, measurement, presentation, and disclosure of environmental credits and related compliance obligations. The standard is intended to improve consistency and comparability in accounting for environmental credit programs by providing a comprehensive accounting framework. The ASU is effective for us beginning in 2028, with early adoption permitted.  We are in the process of evaluating the impact this standard will have on our Condensed Consolidated Financial Statements.</w:t>
      </w:r>
    </w:p>
    <w:p>
      <w:pPr>
        <w:pStyle w:val="TextBody"/>
        <w:bidi w:val="0"/>
        <w:spacing w:before="24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28">
                <wp:simplePos x="0" y="0"/>
                <wp:positionH relativeFrom="page">
                  <wp:posOffset>0</wp:posOffset>
                </wp:positionH>
                <wp:positionV relativeFrom="line">
                  <wp:posOffset>635</wp:posOffset>
                </wp:positionV>
                <wp:extent cx="6480175" cy="175260"/>
                <wp:effectExtent l="0" t="0" r="0" b="0"/>
                <wp:wrapNone/>
                <wp:docPr id="327"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Normal"/>
        <w:bidi w:val="0"/>
        <w:spacing w:before="0" w:after="0"/>
        <w:jc w:val="left"/>
        <w:rPr>
          <w:sz w:val="4"/>
          <w:szCs w:val="4"/>
        </w:rPr>
      </w:pPr>
      <w:r>
        <w:rPr>
          <w:sz w:val="4"/>
          <w:szCs w:val="4"/>
        </w:rPr>
      </w:r>
      <w:bookmarkStart w:id="1457" w:name="MANAGEMENTSDISCUSSIONANDANALYSIS"/>
      <w:bookmarkStart w:id="1458" w:name="ITEM2MANAGEMENTSDISCUSSIONANDANALYSIS"/>
      <w:bookmarkStart w:id="1459" w:name="_5b9ce349_7b22_49b5_8f06_c6a24c5105e1"/>
      <w:bookmarkStart w:id="1460" w:name="MANAGEMENTSDISCUSSIONANDANALYSIS"/>
      <w:bookmarkStart w:id="1461" w:name="ITEM2MANAGEMENTSDISCUSSIONANDANALYSIS"/>
      <w:bookmarkStart w:id="1462" w:name="_5b9ce349_7b22_49b5_8f06_c6a24c5105e1"/>
      <w:bookmarkEnd w:id="1460"/>
      <w:bookmarkEnd w:id="1461"/>
      <w:bookmarkEnd w:id="1462"/>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primarily a holding company. We operate through our wholly-owned and majority-owned subsidiaries, including NLI Holdings, Inc. (formerly NL Industries, Inc.), Kronos Worldwide, Inc., CompX International Inc., Tremont LLC, Basic Management, Inc. (“BMI”) and The LandWell Company (“LandWell”). Kronos (NYSE: KRO), NLI (NYSE: NL) and CompX (NYSE American: CIX) each file periodic reports with the SEC.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three consolidated reportable operating segments: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Chemicals </w:t>
            </w:r>
            <w:r>
              <w:rPr>
                <w:caps w:val="false"/>
                <w:smallCaps w:val="false"/>
              </w:rPr>
              <w:t xml:space="preserve">– </w:t>
            </w:r>
            <w:r>
              <w:rPr>
                <w:rFonts w:ascii="Times New Roman;Times;serif" w:hAnsi="Times New Roman;Times;serif"/>
                <w:b w:val="false"/>
                <w:i w:val="false"/>
                <w:caps w:val="false"/>
                <w:smallCaps w:val="false"/>
                <w:sz w:val="20"/>
              </w:rPr>
              <w:t>Our Chemicals Segment is operated through our majority control of Kronos. Kronos is a leading global producer and marketer of value-added titanium dioxide pigments (“TiO</w:t>
            </w:r>
            <w:r>
              <w:rPr>
                <w:rFonts w:ascii="Times New Roman;Times;serif" w:hAnsi="Times New Roman;Times;serif"/>
                <w:b w:val="false"/>
                <w:i w:val="false"/>
                <w:caps w:val="false"/>
                <w:smallCaps w:val="false"/>
                <w:sz w:val="15"/>
              </w:rPr>
              <w:t>2</w:t>
            </w:r>
            <w:r>
              <w:rPr>
                <w:caps w:val="false"/>
                <w:smallCaps w:val="false"/>
              </w:rPr>
              <w:t>”</w:t>
            </w:r>
            <w:r>
              <w:rPr>
                <w:rFonts w:ascii="Times New Roman;Times;serif" w:hAnsi="Times New Roman;Times;serif"/>
                <w:b w:val="false"/>
                <w:i w:val="false"/>
                <w:caps w:val="false"/>
                <w:smallCaps w:val="false"/>
                <w:sz w:val="20"/>
              </w:rPr>
              <w:t>).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is used to impart whiteness, brightness, opacity and durability to a wide variety of products, including paints, plastics, paper, fibers and ceramics. Additionally,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is a critical component of everyday applications, such as coatings, plastics and paper, as well as many specialty products such as inks, cosmetics and pharmaceuticals.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Component Products </w:t>
            </w:r>
            <w:r>
              <w:rPr>
                <w:caps w:val="false"/>
                <w:smallCaps w:val="false"/>
              </w:rPr>
              <w:t xml:space="preserve">– </w:t>
            </w:r>
            <w:r>
              <w:rPr>
                <w:rFonts w:ascii="Times New Roman;Times;serif" w:hAnsi="Times New Roman;Times;serif"/>
                <w:b w:val="false"/>
                <w:i w:val="false"/>
                <w:caps w:val="false"/>
                <w:smallCaps w:val="false"/>
                <w:sz w:val="20"/>
              </w:rPr>
              <w:t>We operate in the component products industry through our majority control of CompX. CompX is a leading manufacturer of security products used in the postal, recreational transportation, office and institutional furniture, cabinetry, tool storage, healthcare applications and a variety of other industries. CompX is also a leading manufacturer of wake enhancement systems, stainless steel exhaust systems, custom metal fabricated parts, gauges, throttle controls, trim tabs and related hardware and accessories primarily for the recreational marine and other industries.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Real Estate Management and Development</w:t>
            </w:r>
            <w:r>
              <w:rPr>
                <w:caps w:val="false"/>
                <w:smallCaps w:val="false"/>
              </w:rPr>
              <w:t xml:space="preserve"> – </w:t>
            </w:r>
            <w:r>
              <w:rPr>
                <w:rFonts w:ascii="Times New Roman;Times;serif" w:hAnsi="Times New Roman;Times;serif"/>
                <w:b w:val="false"/>
                <w:i w:val="false"/>
                <w:caps w:val="false"/>
                <w:smallCaps w:val="false"/>
                <w:sz w:val="20"/>
              </w:rPr>
              <w:t xml:space="preserve">We operate in real estate management and development through our majority control of BMI and LandWell. BMI and LandWell own real property in Henderson, Nevada. LandWell is engaged in efforts to develop certain land holdings for commercial, industrial and residential purposes in Henderson, Nevada. </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expected cost savings from strategic and operational initiatives;</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integrate acquisitions into Kronos’ operations and realize expected synergies and innovations;</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dependence of certain of our businesses on certain market sectors;</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cyclicality of certain of our businesses (such as Kronos’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operations);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producer inventory levels;</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Unexpected or earlier-than-expected industry capacity expansion (such as the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raw material and other operating costs (such as ore, zinc, brass, aluminum, steel and energy costs) or the implementation of tariffs on imported raw materials;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availability of raw materials (such as ore);</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29">
                <wp:simplePos x="0" y="0"/>
                <wp:positionH relativeFrom="page">
                  <wp:posOffset>0</wp:posOffset>
                </wp:positionH>
                <wp:positionV relativeFrom="line">
                  <wp:posOffset>635</wp:posOffset>
                </wp:positionV>
                <wp:extent cx="6480175" cy="175260"/>
                <wp:effectExtent l="0" t="0" r="0" b="0"/>
                <wp:wrapNone/>
                <wp:docPr id="328"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General global economic and political conditions that harm the worldwide economy, disrupt our supply chain, increase material and energy costs, reduce demand or perceived demand for TiO</w:t>
            </w:r>
            <w:r>
              <w:rPr>
                <w:rFonts w:ascii="Times New Roman;Times;serif" w:hAnsi="Times New Roman;Times;serif"/>
                <w:b w:val="false"/>
                <w:i w:val="false"/>
                <w:caps w:val="false"/>
                <w:smallCaps w:val="false"/>
                <w:sz w:val="15"/>
              </w:rPr>
              <w:t>2</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component products and land held for development or impair our ability to operate our facilities (including changes in the level of gross domestic product in various regions of the world, tariffs, natural disasters, terrorist acts, global conflicts and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interruptions (including, but not limited to, labor disputes, leaks, natural disasters, fires, explosions, unscheduled or unplanned downtime, transportation interruptions, certain regional and world events or economic conditions and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Technology related disruptions (including, but not limited to, cyber-attacks; software implementation, upgrades or improvements; technology processing failures; or other events) related to our technology infrastructure (including manufacturing and accounting systems) that could impact our ability to continue operations, or at key vendors which could impact our supply chain, or at key customers which could impact their operations and cause them to curtail or pause orders; </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products and substitute products;</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Chinese suppliers with less stringent regulatory and environmental compliance requirements;</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our competitors;</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our customers;</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customers;</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technology positions;</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intellectual property rights;</w:t>
            </w:r>
          </w:p>
        </w:tc>
      </w:tr>
    </w:tbl>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w:t>
            </w:r>
          </w:p>
        </w:tc>
      </w:tr>
    </w:tbl>
    <w:tbl>
      <w:tblPr>
        <w:tblW w:w="4656" w:type="dxa"/>
        <w:jc w:val="left"/>
        <w:tblInd w:w="0" w:type="dxa"/>
        <w:tblLayout w:type="fixed"/>
        <w:tblCellMar>
          <w:top w:w="28" w:type="dxa"/>
          <w:left w:w="28" w:type="dxa"/>
          <w:bottom w:w="28" w:type="dxa"/>
          <w:right w:w="28" w:type="dxa"/>
        </w:tblCellMar>
      </w:tblPr>
      <w:tblGrid>
        <w:gridCol w:w="124"/>
        <w:gridCol w:w="256"/>
        <w:gridCol w:w="4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subsidiaries to pay us dividends;</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new product development and the development of new product features;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(such as changes in the exchange rate between the U.S. dollar and each of the euro, the Norwegian krone and the Canadian dollar and between the euro and the Norwegian krone) or possible disruptions to our business resulting from uncertainties associated with the euro or other currencies;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amounts of insurance recoveries;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renew or refinance credit facilities or other debt instruments in the future;</w:t>
            </w:r>
          </w:p>
        </w:tc>
      </w:tr>
    </w:tbl>
    <w:tbl>
      <w:tblPr>
        <w:tblW w:w="2571" w:type="dxa"/>
        <w:jc w:val="left"/>
        <w:tblInd w:w="0" w:type="dxa"/>
        <w:tblLayout w:type="fixed"/>
        <w:tblCellMar>
          <w:top w:w="28" w:type="dxa"/>
          <w:left w:w="28" w:type="dxa"/>
          <w:bottom w:w="28" w:type="dxa"/>
          <w:right w:w="28" w:type="dxa"/>
        </w:tblCellMar>
      </w:tblPr>
      <w:tblGrid>
        <w:gridCol w:w="124"/>
        <w:gridCol w:w="256"/>
        <w:gridCol w:w="2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sufficient liquidity;</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income tax attributes, the benefits of which may or may not have been recognized under the more-likely-than-not recognition criteria;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compliance with emission and discharge standards for existing and new facilities, or new developments regarding environmental remediation or decommissioning obligations at sites related to our former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Government laws and regulations and possible changes therein (such as changes in government regulations which might impose various obligations on former manufacturers of lead pigment and lead-based paint, including NLI, with respect to asserted health concerns associated with the use of such products) including new environmental, sustainability, health and safety or other regulations (such as those seeking to limit or classify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or its use);</w:t>
            </w:r>
          </w:p>
        </w:tc>
      </w:tr>
    </w:tbl>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resolution of pending litigation (such as NLI’s lead pigment and environmental matters);</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covenants contained in our revolving bank credit facilities;</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30">
                <wp:simplePos x="0" y="0"/>
                <wp:positionH relativeFrom="page">
                  <wp:posOffset>0</wp:posOffset>
                </wp:positionH>
                <wp:positionV relativeFrom="line">
                  <wp:posOffset>635</wp:posOffset>
                </wp:positionV>
                <wp:extent cx="6480175" cy="175260"/>
                <wp:effectExtent l="0" t="0" r="0" b="0"/>
                <wp:wrapNone/>
                <wp:docPr id="329"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complete and comply with the conditions of our licenses and permits;</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construction costs in Henderson, Nevada;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(such as litigation related to CompX’s use of certain permitted chemicals in its production process) or other actions.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Operations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Quarter Ended June 30, 2026 Compared to the Quarter Ended June 30, 2025 </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reported net income attributable to Valhi stockholders of $22.3 million, or $.78 per diluted share, in the second quarter of 2026 compared to net income attributable to Valhi stockholders of $.9 million, or $.03 per diluted share, in the second quarter of 2025. Our net income attributable to Valhi stockholders increased from 2025 to 2026 primarily due to higher operating income from our Chemicals Segment of $40.4 million in 2026 compared to operating income of $10.3 million in 2025.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diluted net income per share in the second quarter of 2026 includes:</w:t>
      </w:r>
    </w:p>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income of $.21 per share</w:t>
            </w:r>
            <w:r>
              <w:rPr>
                <w:caps w:val="false"/>
                <w:smallCaps w:val="false"/>
              </w:rPr>
              <w:t xml:space="preserve"> </w:t>
            </w:r>
            <w:r>
              <w:rPr>
                <w:rFonts w:ascii="Times New Roman;Times;serif" w:hAnsi="Times New Roman;Times;serif"/>
                <w:b w:val="false"/>
                <w:i w:val="false"/>
                <w:caps w:val="false"/>
                <w:smallCaps w:val="false"/>
                <w:sz w:val="20"/>
              </w:rPr>
              <w:t>related to tax increment infrastructure reimbursement;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of $.10 per share related to the gain on the sale of an office building within our Real Estate Management and Development Segment.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Our diluted net income per share in the second quarter of 2025 includes income of $.31 per share related to tax increment infrastructure reimbursement.</w:t>
      </w:r>
    </w:p>
    <w:p>
      <w:pPr>
        <w:pStyle w:val="TextBody"/>
        <w:bidi w:val="0"/>
        <w:spacing w:before="120" w:after="240"/>
        <w:ind w:left="0" w:right="0" w:hanging="0"/>
        <w:jc w:val="both"/>
        <w:rPr>
          <w:rFonts w:ascii="Times New Roman;Times;serif" w:hAnsi="Times New Roman;Times;serif"/>
          <w:sz w:val="20"/>
        </w:rPr>
      </w:pPr>
      <w:r>
        <w:rPr>
          <w:rFonts w:ascii="Times New Roman;Times;serif" w:hAnsi="Times New Roman;Times;serif"/>
          <w:i/>
          <w:sz w:val="20"/>
        </w:rPr>
        <w:t>Six Months Ended June 30, 2026 Compared to the Six Months Ended June 30, 2025 </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reported net income attributable to Valhi stockholders of $24.3 million, or $.85 per diluted share, in the first six months of 2026 compared to net income attributable to Valhi stockholders of $17.8 million, or $.62 per diluted share, in the first six months of 2025. Our net income attributable to Valhi stockholders increased from 2025 to 2026 primarily due to the effects of: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higher operating income from our Real Estate Management and Development Segment of $29.7 million in 2026 compared to operating income of $21.9 million in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operating income from our Component Products Segment of $16.0 million in 2026 compared to operating income of $12.2 million in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operating income from our Chemicals Segment of $54.9 million in 2026 compared to operating income of $51.5 million in 2025.</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diluted net income per share in the first six months of 2026 includes:</w:t>
      </w:r>
    </w:p>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of $.30 per share related to tax increment infrastructure reimbursement;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income of $.10 per share related to the gain on the sale of an office building within our Real Estate Management and Development Segment; and</w:t>
            </w:r>
            <w:r>
              <w:rPr>
                <w:caps w:val="false"/>
                <w:smallCaps w:val="false"/>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loss of $.04 per share due to recognition at our Chemicals Segment of an uncertain tax position related to a German tax audit.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Our diluted net income per share in the first six months of 2025 includes income of $.31 per share related to tax increment infrastructure reimbursement.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31">
                <wp:simplePos x="0" y="0"/>
                <wp:positionH relativeFrom="page">
                  <wp:posOffset>0</wp:posOffset>
                </wp:positionH>
                <wp:positionV relativeFrom="line">
                  <wp:posOffset>635</wp:posOffset>
                </wp:positionV>
                <wp:extent cx="6480175" cy="175260"/>
                <wp:effectExtent l="0" t="0" r="0" b="0"/>
                <wp:wrapNone/>
                <wp:docPr id="330"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Current Forecast for 2026 </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expect consolidated operating income for 2026 to be higher as compared to 2025 primarily due to the net effects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operating income from our Chemicals Segment in 2026 primarily due to the positive impacts of higher sales volumes and lower operating costs;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operating income from our Real Estate Management and Development Segment in 2026 due to the wind down of development activities.</w:t>
            </w:r>
          </w:p>
        </w:tc>
      </w:tr>
    </w:tbl>
    <w:p>
      <w:pPr>
        <w:pStyle w:val="TextBody"/>
        <w:bidi w:val="0"/>
        <w:spacing w:before="0" w:after="120"/>
        <w:ind w:left="108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Segment Operating Results – 2026 Compared to 2025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Chemicals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consider TiO</w:t>
      </w:r>
      <w:r>
        <w:rPr>
          <w:rFonts w:ascii="Times New Roman;Times;serif" w:hAnsi="Times New Roman;Times;serif"/>
          <w:sz w:val="15"/>
        </w:rPr>
        <w:t>2</w:t>
      </w:r>
      <w:r>
        <w:rPr>
          <w:rFonts w:ascii="Times New Roman;Times;serif" w:hAnsi="Times New Roman;Times;serif"/>
          <w:sz w:val="20"/>
        </w:rPr>
        <w:t xml:space="preserve"> to be a “quality of life” product, with demand affected by gross domestic product, or GDP, and overall economic conditions in our markets located in various regions of the world. Over the long-term, we expect demand for TiO</w:t>
      </w:r>
      <w:r>
        <w:rPr>
          <w:rFonts w:ascii="Times New Roman;Times;serif" w:hAnsi="Times New Roman;Times;serif"/>
          <w:sz w:val="15"/>
        </w:rPr>
        <w:t>2</w:t>
      </w:r>
      <w:r>
        <w:rPr>
          <w:rFonts w:ascii="Times New Roman;Times;serif" w:hAnsi="Times New Roman;Times;serif"/>
          <w:sz w:val="20"/>
        </w:rPr>
        <w:t xml:space="preserve"> will grow by 2% to 3% per year, consistent with our expectations for the long-term growth in GDP. However, even if our Chemicals Segment and its competitors maintain consistent shares of the worldwide market, demand for TiO</w:t>
      </w:r>
      <w:r>
        <w:rPr>
          <w:rFonts w:ascii="Times New Roman;Times;serif" w:hAnsi="Times New Roman;Times;serif"/>
          <w:sz w:val="15"/>
        </w:rPr>
        <w:t>2</w:t>
      </w:r>
      <w:r>
        <w:rPr>
          <w:rFonts w:ascii="Times New Roman;Times;serif" w:hAnsi="Times New Roman;Times;serif"/>
          <w:sz w:val="20"/>
        </w:rPr>
        <w:t xml:space="preserve"> in any interim or annual period may not change in the same proportion as the change in GDP, in part due to relative changes in the TiO</w:t>
      </w:r>
      <w:r>
        <w:rPr>
          <w:rFonts w:ascii="Times New Roman;Times;serif" w:hAnsi="Times New Roman;Times;serif"/>
          <w:sz w:val="15"/>
        </w:rPr>
        <w:t>2</w:t>
      </w:r>
      <w:r>
        <w:rPr>
          <w:rFonts w:ascii="Times New Roman;Times;serif" w:hAnsi="Times New Roman;Times;serif"/>
          <w:sz w:val="20"/>
        </w:rPr>
        <w:t xml:space="preserve"> inventory levels of our Chemicals Segment’s customers. We believe our Chemicals Segment’s customers’ inventory levels are influenced in part by their expectations for future changes in TiO</w:t>
      </w:r>
      <w:r>
        <w:rPr>
          <w:rFonts w:ascii="Times New Roman;Times;serif" w:hAnsi="Times New Roman;Times;serif"/>
          <w:sz w:val="15"/>
        </w:rPr>
        <w:t>2</w:t>
      </w:r>
      <w:r>
        <w:rPr>
          <w:rFonts w:ascii="Times New Roman;Times;serif" w:hAnsi="Times New Roman;Times;serif"/>
          <w:sz w:val="20"/>
        </w:rPr>
        <w:t xml:space="preserve"> selling prices as well as their expectations for future availability of product. Although certain of our Chemicals Segment’s TiO</w:t>
      </w:r>
      <w:r>
        <w:rPr>
          <w:rFonts w:ascii="Times New Roman;Times;serif" w:hAnsi="Times New Roman;Times;serif"/>
          <w:sz w:val="15"/>
        </w:rPr>
        <w:t xml:space="preserve">2 </w:t>
      </w:r>
      <w:r>
        <w:rPr>
          <w:rFonts w:ascii="Times New Roman;Times;serif" w:hAnsi="Times New Roman;Times;serif"/>
          <w:sz w:val="20"/>
        </w:rPr>
        <w:t>grades are considered specialty pigments, the majority of its grades and substantially all of its production are considered commodity pigment products with price and availability being the most significant competitive factors along with product quality and customer and technical support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factors having the most impact on our Chemicals Segment’s reported operating results are:</w:t>
      </w:r>
    </w:p>
    <w:tbl>
      <w:tblPr>
        <w:tblW w:w="2106" w:type="dxa"/>
        <w:jc w:val="left"/>
        <w:tblInd w:w="0" w:type="dxa"/>
        <w:tblLayout w:type="fixed"/>
        <w:tblCellMar>
          <w:top w:w="28" w:type="dxa"/>
          <w:left w:w="28" w:type="dxa"/>
          <w:bottom w:w="28" w:type="dxa"/>
          <w:right w:w="28" w:type="dxa"/>
        </w:tblCellMar>
      </w:tblPr>
      <w:tblGrid>
        <w:gridCol w:w="124"/>
        <w:gridCol w:w="256"/>
        <w:gridCol w:w="1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selling prices,</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Chemicals Segment’s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sales and production volumes,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costs, particularly raw materials such as third-party feedstock, maintenance and energy-related expenses,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rates (particularly the exchange rates for the U.S. dollar relative to the euro, the Norwegian krone and the Canadian dollar and the euro relative to the Norwegian krone).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Key performance indicators are our Chemicals Segment’s TiO</w:t>
      </w:r>
      <w:r>
        <w:rPr>
          <w:rFonts w:ascii="Times New Roman;Times;serif" w:hAnsi="Times New Roman;Times;serif"/>
          <w:sz w:val="15"/>
        </w:rPr>
        <w:t>2</w:t>
      </w:r>
      <w:r>
        <w:rPr>
          <w:rFonts w:ascii="Times New Roman;Times;serif" w:hAnsi="Times New Roman;Times;serif"/>
          <w:sz w:val="20"/>
        </w:rPr>
        <w:t xml:space="preserve"> average selling prices, the level of TiO</w:t>
      </w:r>
      <w:r>
        <w:rPr>
          <w:rFonts w:ascii="Times New Roman;Times;serif" w:hAnsi="Times New Roman;Times;serif"/>
          <w:sz w:val="15"/>
        </w:rPr>
        <w:t>2</w:t>
      </w:r>
      <w:r>
        <w:rPr>
          <w:rFonts w:ascii="Times New Roman;Times;serif" w:hAnsi="Times New Roman;Times;serif"/>
          <w:sz w:val="20"/>
        </w:rPr>
        <w:t xml:space="preserve"> sales and production volumes, and the cost of our Chemicals Segment’s titanium-containing feedstock purchased from third parties. TiO</w:t>
      </w:r>
      <w:r>
        <w:rPr>
          <w:rFonts w:ascii="Times New Roman;Times;serif" w:hAnsi="Times New Roman;Times;serif"/>
          <w:sz w:val="15"/>
        </w:rPr>
        <w:t xml:space="preserve">2 </w:t>
      </w:r>
      <w:r>
        <w:rPr>
          <w:rFonts w:ascii="Times New Roman;Times;serif" w:hAnsi="Times New Roman;Times;serif"/>
          <w:sz w:val="20"/>
        </w:rPr>
        <w:t>selling prices generally follow industry trends, and selling prices will increase or decrease generally as a result of competitive market pressures.</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32">
                <wp:simplePos x="0" y="0"/>
                <wp:positionH relativeFrom="page">
                  <wp:posOffset>0</wp:posOffset>
                </wp:positionH>
                <wp:positionV relativeFrom="line">
                  <wp:posOffset>635</wp:posOffset>
                </wp:positionV>
                <wp:extent cx="6480175" cy="175260"/>
                <wp:effectExtent l="0" t="0" r="0" b="0"/>
                <wp:wrapNone/>
                <wp:docPr id="331"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tbl>
      <w:tblPr>
        <w:tblW w:w="10205" w:type="dxa"/>
        <w:jc w:val="left"/>
        <w:tblInd w:w="0" w:type="dxa"/>
        <w:tblLayout w:type="fixed"/>
        <w:tblCellMar>
          <w:top w:w="0" w:type="dxa"/>
          <w:left w:w="0" w:type="dxa"/>
          <w:bottom w:w="0" w:type="dxa"/>
          <w:right w:w="0" w:type="dxa"/>
        </w:tblCellMar>
      </w:tblPr>
      <w:tblGrid>
        <w:gridCol w:w="2042"/>
        <w:gridCol w:w="346"/>
        <w:gridCol w:w="211"/>
        <w:gridCol w:w="571"/>
        <w:gridCol w:w="361"/>
        <w:gridCol w:w="211"/>
        <w:gridCol w:w="571"/>
        <w:gridCol w:w="391"/>
        <w:gridCol w:w="991"/>
        <w:gridCol w:w="271"/>
        <w:gridCol w:w="346"/>
        <w:gridCol w:w="211"/>
        <w:gridCol w:w="571"/>
        <w:gridCol w:w="361"/>
        <w:gridCol w:w="211"/>
        <w:gridCol w:w="721"/>
        <w:gridCol w:w="391"/>
        <w:gridCol w:w="991"/>
        <w:gridCol w:w="436"/>
      </w:tblGrid>
      <w:tr>
        <w:trPr/>
        <w:tc>
          <w:tcPr>
            <w:tcW w:w="2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296670" cy="175260"/>
                      <wp:effectExtent l="0" t="0" r="0" b="0"/>
                      <wp:wrapNone/>
                      <wp:docPr id="332" name="Frame332"/>
                      <a:graphic xmlns:a="http://schemas.openxmlformats.org/drawingml/2006/main">
                        <a:graphicData uri="http://schemas.microsoft.com/office/word/2010/wordprocessingShape">
                          <wps:wsp>
                            <wps:cNvSpPr txBox="1"/>
                            <wps:spPr>
                              <a:xfrm>
                                <a:off x="0" y="0"/>
                                <a:ext cx="1296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62585" cy="175260"/>
                      <wp:effectExtent l="0" t="0" r="0" b="0"/>
                      <wp:wrapNone/>
                      <wp:docPr id="335" name="Frame3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29235" cy="175260"/>
                      <wp:effectExtent l="0" t="0" r="0" b="0"/>
                      <wp:wrapNone/>
                      <wp:docPr id="336" name="Frame3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7" name="Frame3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362585" cy="175260"/>
                      <wp:effectExtent l="0" t="0" r="0" b="0"/>
                      <wp:wrapNone/>
                      <wp:docPr id="338" name="Frame3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48285" cy="175260"/>
                      <wp:effectExtent l="0" t="0" r="0" b="0"/>
                      <wp:wrapNone/>
                      <wp:docPr id="339" name="Frame33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29285" cy="175260"/>
                      <wp:effectExtent l="0" t="0" r="0" b="0"/>
                      <wp:wrapNone/>
                      <wp:docPr id="340" name="Frame34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72085" cy="175260"/>
                      <wp:effectExtent l="0" t="0" r="0" b="0"/>
                      <wp:wrapNone/>
                      <wp:docPr id="341" name="Frame34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62585" cy="175260"/>
                      <wp:effectExtent l="0" t="0" r="0" b="0"/>
                      <wp:wrapNone/>
                      <wp:docPr id="344" name="Frame3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29235" cy="175260"/>
                      <wp:effectExtent l="0" t="0" r="0" b="0"/>
                      <wp:wrapNone/>
                      <wp:docPr id="345" name="Frame34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57835" cy="175260"/>
                      <wp:effectExtent l="0" t="0" r="0" b="0"/>
                      <wp:wrapNone/>
                      <wp:docPr id="347" name="Frame34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48285" cy="175260"/>
                      <wp:effectExtent l="0" t="0" r="0" b="0"/>
                      <wp:wrapNone/>
                      <wp:docPr id="348" name="Frame34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29285" cy="175260"/>
                      <wp:effectExtent l="0" t="0" r="0" b="0"/>
                      <wp:wrapNone/>
                      <wp:docPr id="349" name="Frame34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76860" cy="175260"/>
                      <wp:effectExtent l="0" t="0" r="0" b="0"/>
                      <wp:wrapNone/>
                      <wp:docPr id="350" name="Frame35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30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2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5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c>
          <w:tcPr>
            <w:tcW w:w="436" w:type="dxa"/>
            <w:tcBorders/>
            <w:vAlign w:val="center"/>
          </w:tcPr>
          <w:p>
            <w:pPr>
              <w:pStyle w:val="TableContents"/>
              <w:bidi w:val="0"/>
              <w:spacing w:before="0" w:after="1"/>
              <w:ind w:left="0" w:right="0" w:hanging="0"/>
              <w:jc w:val="center"/>
              <w:rPr/>
            </w:pPr>
            <w:r>
              <w:rPr/>
              <w:t>​</w:t>
            </w:r>
          </w:p>
        </w:tc>
      </w:tr>
      <w:tr>
        <w:trPr/>
        <w:tc>
          <w:tcPr>
            <w:tcW w:w="20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2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Change</w:t>
            </w:r>
          </w:p>
        </w:tc>
        <w:tc>
          <w:tcPr>
            <w:tcW w:w="436" w:type="dxa"/>
            <w:tcBorders/>
            <w:vAlign w:val="center"/>
          </w:tcPr>
          <w:p>
            <w:pPr>
              <w:pStyle w:val="TableContents"/>
              <w:bidi w:val="0"/>
              <w:spacing w:before="0" w:after="1"/>
              <w:ind w:left="0" w:right="0" w:hanging="0"/>
              <w:jc w:val="left"/>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0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2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millions)</w:t>
            </w:r>
          </w:p>
        </w:tc>
        <w:tc>
          <w:tcPr>
            <w:tcW w:w="391"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7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millions)</w:t>
            </w:r>
          </w:p>
        </w:tc>
        <w:tc>
          <w:tcPr>
            <w:tcW w:w="391"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r>
      <w:tr>
        <w:trPr/>
        <w:tc>
          <w:tcPr>
            <w:tcW w:w="20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558.1</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1,067.9</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20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432.1</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455.8</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815.5</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882.8</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c>
          <w:tcPr>
            <w:tcW w:w="436" w:type="dxa"/>
            <w:tcBorders/>
            <w:vAlign w:val="center"/>
          </w:tcPr>
          <w:p>
            <w:pPr>
              <w:pStyle w:val="TableContents"/>
              <w:bidi w:val="0"/>
              <w:spacing w:before="0" w:after="1"/>
              <w:ind w:left="0" w:right="0" w:hanging="0"/>
              <w:jc w:val="left"/>
              <w:rPr/>
            </w:pPr>
            <w:r>
              <w:rPr/>
              <w:t>​</w:t>
            </w:r>
          </w:p>
        </w:tc>
      </w:tr>
      <w:tr>
        <w:trPr/>
        <w:tc>
          <w:tcPr>
            <w:tcW w:w="20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102.3</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185.1</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20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40.4</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54.9</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c>
          <w:tcPr>
            <w:tcW w:w="436" w:type="dxa"/>
            <w:tcBorders/>
            <w:vAlign w:val="center"/>
          </w:tcPr>
          <w:p>
            <w:pPr>
              <w:pStyle w:val="TableContents"/>
              <w:bidi w:val="0"/>
              <w:spacing w:before="0" w:after="1"/>
              <w:ind w:left="0" w:right="0" w:hanging="0"/>
              <w:jc w:val="left"/>
              <w:rPr/>
            </w:pPr>
            <w:r>
              <w:rPr/>
              <w:t>​</w:t>
            </w:r>
          </w:p>
        </w:tc>
      </w:tr>
      <w:tr>
        <w:trPr/>
        <w:tc>
          <w:tcPr>
            <w:tcW w:w="20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20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436" w:type="dxa"/>
            <w:tcBorders/>
            <w:vAlign w:val="center"/>
          </w:tcPr>
          <w:p>
            <w:pPr>
              <w:pStyle w:val="TableContents"/>
              <w:bidi w:val="0"/>
              <w:spacing w:before="0" w:after="1"/>
              <w:ind w:left="0" w:right="0" w:hanging="0"/>
              <w:jc w:val="left"/>
              <w:rPr/>
            </w:pPr>
            <w:r>
              <w:rPr/>
              <w:t>​</w:t>
            </w:r>
          </w:p>
        </w:tc>
      </w:tr>
      <w:tr>
        <w:trPr/>
        <w:tc>
          <w:tcPr>
            <w:tcW w:w="20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20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  ​</w:t>
            </w:r>
          </w:p>
        </w:tc>
        <w:tc>
          <w:tcPr>
            <w:tcW w:w="436" w:type="dxa"/>
            <w:tcBorders/>
            <w:vAlign w:val="center"/>
          </w:tcPr>
          <w:p>
            <w:pPr>
              <w:pStyle w:val="TableContents"/>
              <w:bidi w:val="0"/>
              <w:spacing w:before="0" w:after="1"/>
              <w:ind w:left="0" w:right="0" w:hanging="0"/>
              <w:jc w:val="left"/>
              <w:rPr/>
            </w:pPr>
            <w:r>
              <w:rPr/>
              <w:t> </w:t>
            </w:r>
          </w:p>
        </w:tc>
      </w:tr>
      <w:tr>
        <w:trPr/>
        <w:tc>
          <w:tcPr>
            <w:tcW w:w="20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  ​</w:t>
            </w:r>
          </w:p>
        </w:tc>
        <w:tc>
          <w:tcPr>
            <w:tcW w:w="436" w:type="dxa"/>
            <w:tcBorders/>
            <w:shd w:fill="CCEEFF" w:val="clear"/>
            <w:vAlign w:val="center"/>
          </w:tcPr>
          <w:p>
            <w:pPr>
              <w:pStyle w:val="TableContents"/>
              <w:bidi w:val="0"/>
              <w:spacing w:before="0" w:after="1"/>
              <w:ind w:left="0" w:right="0" w:hanging="0"/>
              <w:jc w:val="left"/>
              <w:rPr/>
            </w:pPr>
            <w:r>
              <w:rPr/>
              <w:t> </w:t>
            </w:r>
          </w:p>
        </w:tc>
      </w:tr>
      <w:tr>
        <w:trPr/>
        <w:tc>
          <w:tcPr>
            <w:tcW w:w="20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436" w:type="dxa"/>
            <w:tcBorders/>
            <w:vAlign w:val="center"/>
          </w:tcPr>
          <w:p>
            <w:pPr>
              <w:pStyle w:val="TableContents"/>
              <w:bidi w:val="0"/>
              <w:spacing w:before="0" w:after="1"/>
              <w:ind w:left="0" w:right="0" w:hanging="0"/>
              <w:jc w:val="left"/>
              <w:rPr/>
            </w:pPr>
            <w:r>
              <w:rPr/>
              <w:t>​</w:t>
            </w:r>
          </w:p>
        </w:tc>
      </w:tr>
      <w:tr>
        <w:trPr/>
        <w:tc>
          <w:tcPr>
            <w:tcW w:w="20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operating statistics: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  ​</w:t>
            </w:r>
          </w:p>
        </w:tc>
        <w:tc>
          <w:tcPr>
            <w:tcW w:w="27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  ​</w:t>
            </w:r>
          </w:p>
        </w:tc>
        <w:tc>
          <w:tcPr>
            <w:tcW w:w="436" w:type="dxa"/>
            <w:tcBorders/>
            <w:shd w:fill="CCEEFF" w:val="clear"/>
            <w:vAlign w:val="center"/>
          </w:tcPr>
          <w:p>
            <w:pPr>
              <w:pStyle w:val="TableContents"/>
              <w:bidi w:val="0"/>
              <w:spacing w:before="0" w:after="1"/>
              <w:ind w:left="0" w:right="0" w:hanging="0"/>
              <w:jc w:val="left"/>
              <w:rPr/>
            </w:pPr>
            <w:r>
              <w:rPr/>
              <w:t> </w:t>
            </w:r>
          </w:p>
        </w:tc>
      </w:tr>
      <w:tr>
        <w:trPr/>
        <w:tc>
          <w:tcPr>
            <w:tcW w:w="20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volumes*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295</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c>
          <w:tcPr>
            <w:tcW w:w="4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20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Production volumes*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263</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20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change in TiO</w:t>
            </w:r>
            <w:r>
              <w:rPr>
                <w:rFonts w:ascii="Times New Roman;Times;serif" w:hAnsi="Times New Roman;Times;serif"/>
                <w:sz w:val="15"/>
              </w:rPr>
              <w:t>2</w:t>
            </w:r>
            <w:r>
              <w:rPr>
                <w:rFonts w:ascii="Times New Roman;Times;serif" w:hAnsi="Times New Roman;Times;serif"/>
                <w:sz w:val="20"/>
              </w:rPr>
              <w:t xml:space="preserve"> 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  ​</w:t>
            </w:r>
          </w:p>
        </w:tc>
        <w:tc>
          <w:tcPr>
            <w:tcW w:w="436" w:type="dxa"/>
            <w:tcBorders/>
            <w:vAlign w:val="center"/>
          </w:tcPr>
          <w:p>
            <w:pPr>
              <w:pStyle w:val="TableContents"/>
              <w:bidi w:val="0"/>
              <w:spacing w:before="0" w:after="1"/>
              <w:ind w:left="0" w:right="0" w:hanging="0"/>
              <w:jc w:val="left"/>
              <w:rPr/>
            </w:pPr>
            <w:r>
              <w:rPr/>
              <w:t> </w:t>
            </w:r>
          </w:p>
        </w:tc>
      </w:tr>
      <w:tr>
        <w:trPr/>
        <w:tc>
          <w:tcPr>
            <w:tcW w:w="20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 xml:space="preserve">2 </w:t>
            </w:r>
            <w:r>
              <w:rPr>
                <w:rFonts w:ascii="Times New Roman;Times;serif" w:hAnsi="Times New Roman;Times;serif"/>
                <w:sz w:val="20"/>
              </w:rPr>
              <w:t>sales volumes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0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 xml:space="preserve">2 </w:t>
            </w:r>
            <w:r>
              <w:rPr>
                <w:rFonts w:ascii="Times New Roman;Times;serif" w:hAnsi="Times New Roman;Times;serif"/>
                <w:sz w:val="20"/>
              </w:rPr>
              <w:t>product pricing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436" w:type="dxa"/>
            <w:tcBorders/>
            <w:vAlign w:val="center"/>
          </w:tcPr>
          <w:p>
            <w:pPr>
              <w:pStyle w:val="TableContents"/>
              <w:bidi w:val="0"/>
              <w:spacing w:before="0" w:after="1"/>
              <w:ind w:left="0" w:right="0" w:hanging="0"/>
              <w:jc w:val="left"/>
              <w:rPr/>
            </w:pPr>
            <w:r>
              <w:rPr/>
              <w:t>​</w:t>
            </w:r>
          </w:p>
        </w:tc>
      </w:tr>
      <w:tr>
        <w:trPr/>
        <w:tc>
          <w:tcPr>
            <w:tcW w:w="20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mix/other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27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436" w:type="dxa"/>
            <w:tcBorders/>
            <w:shd w:fill="CCEEFF" w:val="clear"/>
            <w:vAlign w:val="center"/>
          </w:tcPr>
          <w:p>
            <w:pPr>
              <w:pStyle w:val="TableContents"/>
              <w:bidi w:val="0"/>
              <w:spacing w:before="0" w:after="1"/>
              <w:ind w:left="0" w:right="0" w:hanging="0"/>
              <w:jc w:val="left"/>
              <w:rPr/>
            </w:pPr>
            <w:r>
              <w:rPr/>
              <w:t> </w:t>
            </w:r>
          </w:p>
        </w:tc>
      </w:tr>
      <w:tr>
        <w:trPr/>
        <w:tc>
          <w:tcPr>
            <w:tcW w:w="20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currency exchange rates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27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436" w:type="dxa"/>
            <w:tcBorders/>
            <w:vAlign w:val="center"/>
          </w:tcPr>
          <w:p>
            <w:pPr>
              <w:pStyle w:val="TableContents"/>
              <w:bidi w:val="0"/>
              <w:spacing w:before="0" w:after="1"/>
              <w:ind w:left="0" w:right="0" w:hanging="0"/>
              <w:jc w:val="left"/>
              <w:rPr/>
            </w:pPr>
            <w:r>
              <w:rPr/>
              <w:t> </w:t>
            </w:r>
          </w:p>
        </w:tc>
      </w:tr>
      <w:tr>
        <w:trPr/>
        <w:tc>
          <w:tcPr>
            <w:tcW w:w="20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bl>
    <w:p>
      <w:pPr>
        <w:pStyle w:val="TextBody"/>
        <w:pBdr/>
        <w:bidi w:val="0"/>
        <w:spacing w:before="0" w:after="240"/>
        <w:ind w:left="0" w:right="0" w:hanging="720"/>
        <w:jc w:val="left"/>
        <w:rPr>
          <w:rFonts w:ascii="Times New Roman;Times;serif" w:hAnsi="Times New Roman;Times;serif"/>
          <w:sz w:val="20"/>
        </w:rPr>
      </w:pPr>
      <w:r>
        <w:rPr>
          <w:rFonts w:ascii="Times New Roman;Times;serif" w:hAnsi="Times New Roman;Times;serif"/>
          <w:sz w:val="20"/>
        </w:rPr>
        <w:t>*            Thousands of metric tons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Current Industry Conditions </w:t>
      </w:r>
      <w:r>
        <w:rPr>
          <w:rFonts w:ascii="Times New Roman;Times;serif" w:hAnsi="Times New Roman;Times;serif"/>
          <w:sz w:val="20"/>
        </w:rPr>
        <w:t>– Our Chemicals Segment started 2026 with average TiO</w:t>
      </w:r>
      <w:r>
        <w:rPr>
          <w:rFonts w:ascii="Times New Roman;Times;serif" w:hAnsi="Times New Roman;Times;serif"/>
          <w:sz w:val="15"/>
        </w:rPr>
        <w:t>2</w:t>
      </w:r>
      <w:r>
        <w:rPr>
          <w:rFonts w:ascii="Times New Roman;Times;serif" w:hAnsi="Times New Roman;Times;serif"/>
          <w:sz w:val="20"/>
        </w:rPr>
        <w:t xml:space="preserve"> selling prices lower than at the beginning of 2025; however, its average TiO</w:t>
      </w:r>
      <w:r>
        <w:rPr>
          <w:rFonts w:ascii="Times New Roman;Times;serif" w:hAnsi="Times New Roman;Times;serif"/>
          <w:sz w:val="15"/>
        </w:rPr>
        <w:t>2</w:t>
      </w:r>
      <w:r>
        <w:rPr>
          <w:rFonts w:ascii="Times New Roman;Times;serif" w:hAnsi="Times New Roman;Times;serif"/>
          <w:sz w:val="20"/>
        </w:rPr>
        <w:t xml:space="preserve"> selling prices increased 4% during the first six months of 2026. During the second quarter of 2026, our Chemicals Segment announced and implemented various price increases and surcharges in response to higher operating costs. Our Chemicals Segment’s average TiO</w:t>
      </w:r>
      <w:r>
        <w:rPr>
          <w:rFonts w:ascii="Times New Roman;Times;serif" w:hAnsi="Times New Roman;Times;serif"/>
          <w:sz w:val="15"/>
        </w:rPr>
        <w:t>2</w:t>
      </w:r>
      <w:r>
        <w:rPr>
          <w:rFonts w:ascii="Times New Roman;Times;serif" w:hAnsi="Times New Roman;Times;serif"/>
          <w:sz w:val="20"/>
        </w:rPr>
        <w:t xml:space="preserve"> selling prices in the first six months of 2026 were 4% lower than its average TiO</w:t>
      </w:r>
      <w:r>
        <w:rPr>
          <w:rFonts w:ascii="Times New Roman;Times;serif" w:hAnsi="Times New Roman;Times;serif"/>
          <w:sz w:val="15"/>
        </w:rPr>
        <w:t>2</w:t>
      </w:r>
      <w:r>
        <w:rPr>
          <w:rFonts w:ascii="Times New Roman;Times;serif" w:hAnsi="Times New Roman;Times;serif"/>
          <w:sz w:val="20"/>
        </w:rPr>
        <w:t xml:space="preserve"> selling prices for the first six months of 2025. Overall, our Chemicals Segment’s sales volumes increased in the first six months of 2026 compared to the same period in 2025 primarily due to market share gains across all markets resulting from changing competitive and supply conditions and the continued effect of anti-dumping duties which remain in effect in certain markets.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fourth quarter of 2025, our Chemicals Segment implemented cost reduction initiatives, including workforce reductions and other measures, to permanently improve its cost structure and enable more efficient operation of its facilities at lower production rates for extended periods. As a result, our Chemicals Segment adjusted its normal production capacity range in 2026 to reflect its production capabilities under this new cost structure.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Excluding the effect of changes in currency exchange rates, our Chemicals Segment’s cost of sales per metric ton of TiO</w:t>
      </w:r>
      <w:r>
        <w:rPr>
          <w:rFonts w:ascii="Times New Roman;Times;serif" w:hAnsi="Times New Roman;Times;serif"/>
          <w:sz w:val="15"/>
        </w:rPr>
        <w:t>2</w:t>
      </w:r>
      <w:r>
        <w:rPr>
          <w:rFonts w:ascii="Times New Roman;Times;serif" w:hAnsi="Times New Roman;Times;serif"/>
          <w:sz w:val="20"/>
        </w:rPr>
        <w:t xml:space="preserve"> sold in the first half of 2026 was lower than the comparable period of 2025 due to decreases in per metric ton production costs driven primarily by the cost reduction initiatives discussed above, as well as lower raw material costs (primarily feedstock costs) and lower unabsorbed fixed costs. </w:t>
      </w:r>
    </w:p>
    <w:p>
      <w:pPr>
        <w:pStyle w:val="TextBody"/>
        <w:bidi w:val="0"/>
        <w:spacing w:before="0" w:after="240"/>
        <w:ind w:left="0" w:right="0" w:firstLine="720"/>
        <w:jc w:val="both"/>
        <w:rPr>
          <w:rFonts w:ascii="Times New Roman;Times;serif" w:hAnsi="Times New Roman;Times;serif"/>
          <w:sz w:val="20"/>
        </w:rPr>
      </w:pPr>
      <w:bookmarkStart w:id="1463" w:name="_Hlk233123461"/>
      <w:bookmarkEnd w:id="1463"/>
      <w:r>
        <w:rPr>
          <w:rFonts w:ascii="Times New Roman;Times;serif" w:hAnsi="Times New Roman;Times;serif"/>
          <w:i/>
          <w:sz w:val="20"/>
        </w:rPr>
        <w:t>Net Sales </w:t>
      </w:r>
      <w:r>
        <w:rPr>
          <w:rFonts w:ascii="Times New Roman;Times;serif" w:hAnsi="Times New Roman;Times;serif"/>
          <w:sz w:val="20"/>
        </w:rPr>
        <w:t>– Our Chemicals Segment’s net sales in the second quarter of 2026 increased 13%, or $63.7 million, compared to the second quarter of 2025 primarily due to the effects of a 16% increase in sales volumes (which increased net sales by approximately $79 million) and the favorable impact of changes in currency exchange rates (primarily the euro) which our Chemicals Segment estimates increased its net sales by approximately $10 million. These increases were partially offset by a 3% decrease in average TiO</w:t>
      </w:r>
      <w:r>
        <w:rPr>
          <w:rFonts w:ascii="Times New Roman;Times;serif" w:hAnsi="Times New Roman;Times;serif"/>
          <w:sz w:val="15"/>
        </w:rPr>
        <w:t xml:space="preserve">2 </w:t>
      </w:r>
      <w:r>
        <w:rPr>
          <w:rFonts w:ascii="Times New Roman;Times;serif" w:hAnsi="Times New Roman;Times;serif"/>
          <w:sz w:val="20"/>
        </w:rPr>
        <w:t>selling prices (which decreased net sales by approximately $15 million) and by changes in product mix, primarily due to lower average selling prices and lower sales volumes in its complementary businesses. TiO</w:t>
      </w:r>
      <w:r>
        <w:rPr>
          <w:rFonts w:ascii="Times New Roman;Times;serif" w:hAnsi="Times New Roman;Times;serif"/>
          <w:sz w:val="15"/>
        </w:rPr>
        <w:t>2</w:t>
      </w:r>
      <w:r>
        <w:rPr>
          <w:rFonts w:ascii="Times New Roman;Times;serif" w:hAnsi="Times New Roman;Times;serif"/>
          <w:sz w:val="20"/>
        </w:rPr>
        <w:t xml:space="preserve"> selling prices will increase or decrease generally as a result of competitive market pressures, change in the relative level of supply and demand as well as change in raw material and other manufacturing costs.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Chemicals Segment’s sales volumes increased 16% in the second quarter of 2026 as compared to the second quarter of 2025 primarily due to market share gains in all major markets resulting from changing competitive and supply conditions and anti-dumping duties that remain in effect in certain markets.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52">
                <wp:simplePos x="0" y="0"/>
                <wp:positionH relativeFrom="page">
                  <wp:posOffset>0</wp:posOffset>
                </wp:positionH>
                <wp:positionV relativeFrom="line">
                  <wp:posOffset>635</wp:posOffset>
                </wp:positionV>
                <wp:extent cx="6480175" cy="175260"/>
                <wp:effectExtent l="0" t="0" r="0" b="0"/>
                <wp:wrapNone/>
                <wp:docPr id="351" name="Frame3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Chemicals Segment’s net sales in the first six months of 2026 increased 9%, or $83.7 million, compared to the first six months of 2025 primarily due to the effects of a 10% increase in sales volumes (which increased net sales by approximately $98 million) and the favorable impact of changes in currency exchange rates (primarily the euro), which our Chemicals Segment estimates increased its net sales by approximately $41 million. These increases were partially offset by a 4% decrease in average TiO</w:t>
      </w:r>
      <w:r>
        <w:rPr>
          <w:rFonts w:ascii="Times New Roman;Times;serif" w:hAnsi="Times New Roman;Times;serif"/>
          <w:sz w:val="15"/>
        </w:rPr>
        <w:t xml:space="preserve">2 </w:t>
      </w:r>
      <w:r>
        <w:rPr>
          <w:rFonts w:ascii="Times New Roman;Times;serif" w:hAnsi="Times New Roman;Times;serif"/>
          <w:sz w:val="20"/>
        </w:rPr>
        <w:t xml:space="preserve">selling prices (which decreased net sales by approximately $39 million) and by changes in product mix, primarily due to lower average selling prices and lower sales volumes in its complementary businesses.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Chemicals Segment’s sales volumes increased 10% in the first six months of 2026 as compared to the same period in 2025 primarily due to market share gains in all major markets resulting from changing competitive and supply conditions and anti-dumping duties that remain in effect in certain markets.  </w:t>
      </w:r>
    </w:p>
    <w:p>
      <w:pPr>
        <w:pStyle w:val="TextBody"/>
        <w:bidi w:val="0"/>
        <w:spacing w:lineRule="auto" w:line="302" w:before="0" w:after="240"/>
        <w:ind w:left="0" w:right="0" w:firstLine="720"/>
        <w:jc w:val="both"/>
        <w:rPr>
          <w:rFonts w:ascii="Times New Roman;Times;serif" w:hAnsi="Times New Roman;Times;serif"/>
          <w:sz w:val="20"/>
        </w:rPr>
      </w:pPr>
      <w:r>
        <w:rPr>
          <w:rFonts w:ascii="Times New Roman;Times;serif" w:hAnsi="Times New Roman;Times;serif"/>
          <w:i/>
          <w:sz w:val="20"/>
        </w:rPr>
        <w:t>Cost of Sales and Gross Margin </w:t>
      </w:r>
      <w:r>
        <w:rPr>
          <w:rFonts w:ascii="Times New Roman;Times;serif" w:hAnsi="Times New Roman;Times;serif"/>
          <w:sz w:val="20"/>
        </w:rPr>
        <w:t>– Our Chemicals Segment’s c</w:t>
      </w:r>
      <w:r>
        <w:rPr>
          <w:rFonts w:ascii="Times New Roman;Times;serif" w:hAnsi="Times New Roman;Times;serif"/>
          <w:sz w:val="20"/>
          <w:shd w:fill="FFFFFF" w:val="clear"/>
        </w:rPr>
        <w:t xml:space="preserve">ost of sales increased by $23.7 million, or 5%, in the </w:t>
      </w:r>
      <w:r>
        <w:rPr>
          <w:rFonts w:ascii="Times New Roman;Times;serif" w:hAnsi="Times New Roman;Times;serif"/>
          <w:sz w:val="20"/>
        </w:rPr>
        <w:t>second</w:t>
      </w:r>
      <w:r>
        <w:rPr>
          <w:rFonts w:ascii="Times New Roman;Times;serif" w:hAnsi="Times New Roman;Times;serif"/>
          <w:sz w:val="20"/>
          <w:shd w:fill="FFFFFF" w:val="clear"/>
        </w:rPr>
        <w:t xml:space="preserve"> quarter of 2026 compared to the </w:t>
      </w:r>
      <w:r>
        <w:rPr>
          <w:rFonts w:ascii="Times New Roman;Times;serif" w:hAnsi="Times New Roman;Times;serif"/>
          <w:sz w:val="20"/>
        </w:rPr>
        <w:t>second</w:t>
      </w:r>
      <w:r>
        <w:rPr>
          <w:rFonts w:ascii="Times New Roman;Times;serif" w:hAnsi="Times New Roman;Times;serif"/>
          <w:sz w:val="20"/>
          <w:shd w:fill="FFFFFF" w:val="clear"/>
        </w:rPr>
        <w:t xml:space="preserve"> quarter of 2025 due to a 16% increase in sales volumes </w:t>
      </w:r>
      <w:r>
        <w:rPr>
          <w:rFonts w:ascii="Times New Roman;Times;serif" w:hAnsi="Times New Roman;Times;serif"/>
          <w:sz w:val="20"/>
        </w:rPr>
        <w:t>and the unfavorable impact from changes in currency exchange rates. These increases were</w:t>
      </w:r>
      <w:r>
        <w:rPr>
          <w:rFonts w:ascii="Times New Roman;Times;serif" w:hAnsi="Times New Roman;Times;serif"/>
          <w:sz w:val="20"/>
          <w:shd w:fill="FFFFFF" w:val="clear"/>
        </w:rPr>
        <w:t xml:space="preserve"> partially offset by lower production costs resulting primarily from the cost reduction initiatives implemented in the fourth quarter of 2025, lower raw material costs (primarily feedstock) and lower unabsorbed fixed costs. Unabsorbed fixed costs were not material in the </w:t>
      </w:r>
      <w:r>
        <w:rPr>
          <w:rFonts w:ascii="Times New Roman;Times;serif" w:hAnsi="Times New Roman;Times;serif"/>
          <w:sz w:val="20"/>
        </w:rPr>
        <w:t>second</w:t>
      </w:r>
      <w:r>
        <w:rPr>
          <w:rFonts w:ascii="Times New Roman;Times;serif" w:hAnsi="Times New Roman;Times;serif"/>
          <w:sz w:val="20"/>
          <w:shd w:fill="FFFFFF" w:val="clear"/>
        </w:rPr>
        <w:t xml:space="preserve"> quarter of 2026 compared to approximately $20 million in the </w:t>
      </w:r>
      <w:r>
        <w:rPr>
          <w:rFonts w:ascii="Times New Roman;Times;serif" w:hAnsi="Times New Roman;Times;serif"/>
          <w:sz w:val="20"/>
        </w:rPr>
        <w:t>second</w:t>
      </w:r>
      <w:r>
        <w:rPr>
          <w:rFonts w:ascii="Times New Roman;Times;serif" w:hAnsi="Times New Roman;Times;serif"/>
          <w:sz w:val="20"/>
          <w:shd w:fill="FFFFFF" w:val="clear"/>
        </w:rPr>
        <w:t xml:space="preserve"> quarter of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Chemicals Segment’s cost of sales as a percentage of net sales improved to 82% in the second quarter of 2026 compared to 87% in the same period of 2025, primarily due to the favorable effects of higher sales volumes and lower production costs, discussed above. These favorable impacts were partially offset by lower average TiO</w:t>
      </w:r>
      <w:r>
        <w:rPr>
          <w:rFonts w:ascii="Times New Roman;Times;serif" w:hAnsi="Times New Roman;Times;serif"/>
          <w:sz w:val="15"/>
        </w:rPr>
        <w:t>2</w:t>
      </w:r>
      <w:r>
        <w:rPr>
          <w:rFonts w:ascii="Times New Roman;Times;serif" w:hAnsi="Times New Roman;Times;serif"/>
          <w:sz w:val="20"/>
        </w:rPr>
        <w:t xml:space="preserve"> selling prices and the unfavorable impact of lower average selling prices and sales volumes within our Chemicals Segment’s complementary businesses.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Chemicals Segment’s gross margin as a percentage of net sales increased to 18% in the second quarter of 2026 compared to 13% in the second quarter of 2025. Our Chemicals Segment’s gross margin as a percentage of net sales increased primarily due to the net effects of higher sales volumes, lower average TiO</w:t>
      </w:r>
      <w:r>
        <w:rPr>
          <w:rFonts w:ascii="Times New Roman;Times;serif" w:hAnsi="Times New Roman;Times;serif"/>
          <w:sz w:val="15"/>
        </w:rPr>
        <w:t>2</w:t>
      </w:r>
      <w:r>
        <w:rPr>
          <w:rFonts w:ascii="Times New Roman;Times;serif" w:hAnsi="Times New Roman;Times;serif"/>
          <w:sz w:val="20"/>
        </w:rPr>
        <w:t xml:space="preserve"> selling prices, lower production costs as discussed above, and the unfavorable impact from changes in currency exchange rates.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Chemicals Segment’s c</w:t>
      </w:r>
      <w:r>
        <w:rPr>
          <w:rFonts w:ascii="Times New Roman;Times;serif" w:hAnsi="Times New Roman;Times;serif"/>
          <w:sz w:val="20"/>
          <w:shd w:fill="FFFFFF" w:val="clear"/>
        </w:rPr>
        <w:t>ost of sales increased by $67.3 million, or 8%, in the first six months of 2026 compared to the first six months of 2025 due to a 10% increase in sales volumes and the unfavorable impact from changes in currency exchange rates.  These increases were partially offset by lower production costs resulting primarily from the cost reduction initiatives implemented in the fourth quarter of 2025, lower raw material costs (primarily feedstock), and lower unabsorbed fixed costs. Unabsorbed fixed costs were not material in the first six months of 2026 compared to $30 million in the first six months of 2025.</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Our</w:t>
      </w:r>
      <w:r>
        <w:rPr>
          <w:rFonts w:ascii="Times New Roman;Times;serif" w:hAnsi="Times New Roman;Times;serif"/>
          <w:sz w:val="20"/>
        </w:rPr>
        <w:t xml:space="preserve"> Chemicals Segment’s</w:t>
      </w:r>
      <w:r>
        <w:rPr>
          <w:rFonts w:ascii="Times New Roman;Times;serif" w:hAnsi="Times New Roman;Times;serif"/>
          <w:sz w:val="20"/>
          <w:shd w:fill="FFFFFF" w:val="clear"/>
        </w:rPr>
        <w:t xml:space="preserve"> cost of sales as a percentage of net sales was comparable at 83% in the first six months of 2026 and 2025 as the favorable effects of higher sales volumes and lower cost of inventory sold were offset by lower average TiO</w:t>
      </w:r>
      <w:r>
        <w:rPr>
          <w:rFonts w:ascii="Times New Roman;Times;serif" w:hAnsi="Times New Roman;Times;serif"/>
          <w:sz w:val="15"/>
          <w:shd w:fill="FFFFFF" w:val="clear"/>
        </w:rPr>
        <w:t>2</w:t>
      </w:r>
      <w:r>
        <w:rPr>
          <w:rFonts w:ascii="Times New Roman;Times;serif" w:hAnsi="Times New Roman;Times;serif"/>
          <w:sz w:val="20"/>
          <w:shd w:fill="FFFFFF" w:val="clear"/>
        </w:rPr>
        <w:t xml:space="preserve"> selling prices, the unfavorable impact of changes in currency exchange rates, and lower average selling prices and sales volumes within our Chemicals Segment’s complementary businesses.</w:t>
      </w:r>
    </w:p>
    <w:p>
      <w:pPr>
        <w:pStyle w:val="TextBody"/>
        <w:bidi w:val="0"/>
        <w:spacing w:before="0" w:after="0"/>
        <w:ind w:left="0" w:right="0" w:hanging="0"/>
        <w:jc w:val="both"/>
        <w:rPr>
          <w:shd w:fill="FFFFFF" w:val="clear"/>
        </w:rPr>
      </w:pPr>
      <w:r>
        <w:rPr>
          <w:shd w:fill="FFFFFF" w:val="clea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Our</w:t>
      </w:r>
      <w:r>
        <w:rPr>
          <w:rFonts w:ascii="Times New Roman;Times;serif" w:hAnsi="Times New Roman;Times;serif"/>
          <w:sz w:val="20"/>
        </w:rPr>
        <w:t xml:space="preserve"> Chemicals Segment’s</w:t>
      </w:r>
      <w:r>
        <w:rPr>
          <w:rFonts w:ascii="Times New Roman;Times;serif" w:hAnsi="Times New Roman;Times;serif"/>
          <w:sz w:val="20"/>
          <w:shd w:fill="FFFFFF" w:val="clear"/>
        </w:rPr>
        <w:t xml:space="preserve"> gross margin as a percentage of net sales was comparable at 17% in the first six months of 2026 and 2025 based on the factors affecting net sales and cost of sales, discussed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Operating Income</w:t>
      </w:r>
      <w:r>
        <w:rPr>
          <w:rFonts w:ascii="Times New Roman;Times;serif" w:hAnsi="Times New Roman;Times;serif"/>
          <w:sz w:val="20"/>
        </w:rPr>
        <w:t>– Our Chemicals Segment’s operating income increased by $30.1 million to $40.4 million in the second quarter of 2026 compared to $10.3 million in the second quarter of 2025, primarily as a result of the factors impacting gross margin discussed above. We estimate that changes in currency exchange rates decreased our Chemicals Segment’s operating income by approximately $12 million in the second quarter of 2026 compared to the same period in 2025, as discussed in the effects of currency exchange rates section below.</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Our Chemicals Segment’s operating income increased by $3.4 million to $54.9 million in the first six months of 2026 compared to $51.5 million in the first six months of 2025, primarily as a result of the factors impacting gross margin discussed above. We estimate that changes in currency exchange rates decreased our Chemicals Segment’s operating income by approximately $18 million in the first six months of 2026 compared to the same period in 2025, as discussed in the effects of currency exchange rates section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Chemicals Segment’s operating income is net of amortization of purchase accounting adjustments made in conjunction with our acquisitions of interests in NLI and Kronos. As a result, we recognize additional depreciation expense above the amounts Kronos reports separately, substantially all of which is included within cost of sales. We recognized additional depreciation expense of $1.2 million and $1.0 million in the first six months of 2026 and 2025, respectively, which reduced our reported Chemicals Segment’s operating income as compared to amounts reported by Kronos.</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53">
                <wp:simplePos x="0" y="0"/>
                <wp:positionH relativeFrom="page">
                  <wp:posOffset>0</wp:posOffset>
                </wp:positionH>
                <wp:positionV relativeFrom="line">
                  <wp:posOffset>635</wp:posOffset>
                </wp:positionV>
                <wp:extent cx="6480175" cy="175260"/>
                <wp:effectExtent l="0" t="0" r="0" b="0"/>
                <wp:wrapNone/>
                <wp:docPr id="352" name="Frame3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Currency Exchange Rates </w:t>
      </w:r>
      <w:r>
        <w:rPr>
          <w:rFonts w:ascii="Times New Roman;Times;serif" w:hAnsi="Times New Roman;Times;serif"/>
          <w:sz w:val="20"/>
        </w:rPr>
        <w:t>– Our Chemicals Segment has substantial operations and assets located outside the United States (primarily in Germany, Belgium, Norway and Canada). The majority of our Chemicals Segment’s sales from non-U.S. operations are denominated in currencies other than the U.S. dollar, principally the euro, other major European currencies and the Canadian dollar. A portion of our Chemicals Segment’s sales generated from its non-U.S. operations is denominated in the U.S. dollar (and consequently our Chemicals Segment’s non-U.S. operations will generally hold U.S. dollars from time to time). Certain raw materials used in all our Chemicals Segment’s production facilities, primarily titanium-containing feedstocks, are purchased primarily in U.S. dollars, while labor and other production and administrative costs are incurred primarily in local currencies. Consequently, the translated U.S. dollar value of our Chemicals Segment’s non-U.S. sales and operating results are subject to currency exchange rate fluctuations which may favorably or unfavorably impact reported earnings and may affect the comparability of period-to-period operating results. In addition to the impact of the translation of sales and expenses over time, our Chemicals Segment’s non-U.S. operations also generate currency transaction gains and losses which primarily relate to (i) the difference between the currency exchange rates in effect when non-local currency sales or operating costs (primarily U.S. dollar denominated) are initially accrued and when such amounts are settled with the non-local currency, (ii) changes in currency exchange rates during time periods when our Chemicals Segment’s non-U.S. operations are holding non-local currency (primarily U.S. dollars), and (iii) relative changes in the aggregate fair value of currency forward contracts held from time to time. We periodically use currency forward contracts to manage a portion of our currency exchange risk, and relative changes in the aggregate fair value of any currency forward contracts we hold from time to time serves in part to mitigate the currency transaction gains or losses we would recognize from the first two items described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Fluctuations in currency exchange rates had the following effects on our Chemicals Segment’s sales and operating income for the periods indicated.</w:t>
      </w:r>
    </w:p>
    <w:tbl>
      <w:tblPr>
        <w:tblW w:w="8508" w:type="dxa"/>
        <w:jc w:val="left"/>
        <w:tblInd w:w="0" w:type="dxa"/>
        <w:tblLayout w:type="fixed"/>
        <w:tblCellMar>
          <w:top w:w="0" w:type="dxa"/>
          <w:left w:w="0" w:type="dxa"/>
          <w:bottom w:w="0" w:type="dxa"/>
          <w:right w:w="0" w:type="dxa"/>
        </w:tblCellMar>
      </w:tblPr>
      <w:tblGrid>
        <w:gridCol w:w="1576"/>
        <w:gridCol w:w="346"/>
        <w:gridCol w:w="280"/>
        <w:gridCol w:w="459"/>
        <w:gridCol w:w="459"/>
        <w:gridCol w:w="280"/>
        <w:gridCol w:w="459"/>
        <w:gridCol w:w="459"/>
        <w:gridCol w:w="280"/>
        <w:gridCol w:w="578"/>
        <w:gridCol w:w="346"/>
        <w:gridCol w:w="485"/>
        <w:gridCol w:w="730"/>
        <w:gridCol w:w="346"/>
        <w:gridCol w:w="474"/>
        <w:gridCol w:w="95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000760" cy="175260"/>
                      <wp:effectExtent l="0" t="0" r="0" b="0"/>
                      <wp:wrapNone/>
                      <wp:docPr id="353" name="Frame353"/>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77800" cy="175260"/>
                      <wp:effectExtent l="0" t="0" r="0" b="0"/>
                      <wp:wrapNone/>
                      <wp:docPr id="355" name="Frame355"/>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91465" cy="175260"/>
                      <wp:effectExtent l="0" t="0" r="0" b="0"/>
                      <wp:wrapNone/>
                      <wp:docPr id="356" name="Frame356"/>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91465" cy="175260"/>
                      <wp:effectExtent l="0" t="0" r="0" b="0"/>
                      <wp:wrapNone/>
                      <wp:docPr id="357" name="Frame357"/>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77800" cy="175260"/>
                      <wp:effectExtent l="0" t="0" r="0" b="0"/>
                      <wp:wrapNone/>
                      <wp:docPr id="358" name="Frame358"/>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91465" cy="175260"/>
                      <wp:effectExtent l="0" t="0" r="0" b="0"/>
                      <wp:wrapNone/>
                      <wp:docPr id="359" name="Frame359"/>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91465" cy="175260"/>
                      <wp:effectExtent l="0" t="0" r="0" b="0"/>
                      <wp:wrapNone/>
                      <wp:docPr id="360" name="Frame360"/>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77800" cy="175260"/>
                      <wp:effectExtent l="0" t="0" r="0" b="0"/>
                      <wp:wrapNone/>
                      <wp:docPr id="361" name="Frame36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367030" cy="175260"/>
                      <wp:effectExtent l="0" t="0" r="0" b="0"/>
                      <wp:wrapNone/>
                      <wp:docPr id="362" name="Frame362"/>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07975" cy="175260"/>
                      <wp:effectExtent l="0" t="0" r="0" b="0"/>
                      <wp:wrapNone/>
                      <wp:docPr id="364" name="Frame364"/>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63550" cy="175260"/>
                      <wp:effectExtent l="0" t="0" r="0" b="0"/>
                      <wp:wrapNone/>
                      <wp:docPr id="365" name="Frame365"/>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300990" cy="175260"/>
                      <wp:effectExtent l="0" t="0" r="0" b="0"/>
                      <wp:wrapNone/>
                      <wp:docPr id="367" name="Frame367"/>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03885" cy="175260"/>
                      <wp:effectExtent l="0" t="0" r="0" b="0"/>
                      <wp:wrapNone/>
                      <wp:docPr id="368" name="Frame368"/>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508" w:type="dxa"/>
            <w:gridSpan w:val="16"/>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 of changes in currency exchange rates</w:t>
            </w:r>
          </w:p>
        </w:tc>
      </w:tr>
      <w:tr>
        <w:trPr/>
        <w:tc>
          <w:tcPr>
            <w:tcW w:w="8508"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2026 vs June 30, 2025</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center"/>
              <w:rPr/>
            </w:pPr>
            <w:r>
              <w:rPr/>
              <w:t>​</w:t>
            </w:r>
          </w:p>
        </w:tc>
        <w:tc>
          <w:tcPr>
            <w:tcW w:w="459" w:type="dxa"/>
            <w:tcBorders/>
            <w:vAlign w:val="center"/>
          </w:tcPr>
          <w:p>
            <w:pPr>
              <w:pStyle w:val="TableContents"/>
              <w:bidi w:val="0"/>
              <w:spacing w:before="0" w:after="1"/>
              <w:ind w:left="0" w:right="0" w:hanging="0"/>
              <w:jc w:val="center"/>
              <w:rPr/>
            </w:pPr>
            <w:r>
              <w:rPr/>
              <w:t>​</w:t>
            </w:r>
          </w:p>
        </w:tc>
        <w:tc>
          <w:tcPr>
            <w:tcW w:w="459"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center"/>
              <w:rPr/>
            </w:pPr>
            <w:r>
              <w:rPr/>
              <w:t>​</w:t>
            </w:r>
          </w:p>
        </w:tc>
        <w:tc>
          <w:tcPr>
            <w:tcW w:w="459" w:type="dxa"/>
            <w:tcBorders/>
            <w:vAlign w:val="center"/>
          </w:tcPr>
          <w:p>
            <w:pPr>
              <w:pStyle w:val="TableContents"/>
              <w:bidi w:val="0"/>
              <w:spacing w:before="0" w:after="1"/>
              <w:ind w:left="0" w:right="0" w:hanging="0"/>
              <w:jc w:val="center"/>
              <w:rPr/>
            </w:pPr>
            <w:r>
              <w:rPr/>
              <w:t>​</w:t>
            </w:r>
          </w:p>
        </w:tc>
        <w:tc>
          <w:tcPr>
            <w:tcW w:w="459"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center"/>
              <w:rPr/>
            </w:pPr>
            <w:r>
              <w:rPr/>
              <w:t>​</w:t>
            </w:r>
          </w:p>
        </w:tc>
        <w:tc>
          <w:tcPr>
            <w:tcW w:w="57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46" w:type="dxa"/>
            <w:tcBorders/>
            <w:vAlign w:val="center"/>
          </w:tcPr>
          <w:p>
            <w:pPr>
              <w:pStyle w:val="TableContents"/>
              <w:bidi w:val="0"/>
              <w:spacing w:before="0" w:after="1"/>
              <w:ind w:left="0" w:right="0" w:hanging="0"/>
              <w:jc w:val="center"/>
              <w:rPr/>
            </w:pPr>
            <w:r>
              <w:rPr/>
              <w:t>​</w:t>
            </w:r>
          </w:p>
        </w:tc>
        <w:tc>
          <w:tcPr>
            <w:tcW w:w="474" w:type="dxa"/>
            <w:tcBorders/>
            <w:vAlign w:val="center"/>
          </w:tcPr>
          <w:p>
            <w:pPr>
              <w:pStyle w:val="TableContents"/>
              <w:bidi w:val="0"/>
              <w:spacing w:before="0" w:after="1"/>
              <w:ind w:left="0" w:right="0" w:hanging="0"/>
              <w:jc w:val="center"/>
              <w:rPr/>
            </w:pPr>
            <w:r>
              <w:rPr/>
              <w:t>​</w:t>
            </w:r>
          </w:p>
        </w:tc>
        <w:tc>
          <w:tcPr>
            <w:tcW w:w="951" w:type="dxa"/>
            <w:tcBorders/>
            <w:vAlign w:val="center"/>
          </w:tcPr>
          <w:p>
            <w:pPr>
              <w:pStyle w:val="TableContents"/>
              <w:bidi w:val="0"/>
              <w:spacing w:before="0" w:after="1"/>
              <w:ind w:left="0" w:right="0" w:hanging="0"/>
              <w:jc w:val="center"/>
              <w:rPr/>
            </w:pPr>
            <w:r>
              <w:rPr/>
              <w:t>​</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center"/>
              <w:rPr/>
            </w:pPr>
            <w:r>
              <w:rPr/>
              <w:t>​</w:t>
            </w:r>
          </w:p>
        </w:tc>
        <w:tc>
          <w:tcPr>
            <w:tcW w:w="459" w:type="dxa"/>
            <w:tcBorders/>
            <w:vAlign w:val="center"/>
          </w:tcPr>
          <w:p>
            <w:pPr>
              <w:pStyle w:val="TableContents"/>
              <w:bidi w:val="0"/>
              <w:spacing w:before="0" w:after="1"/>
              <w:ind w:left="0" w:right="0" w:hanging="0"/>
              <w:jc w:val="center"/>
              <w:rPr/>
            </w:pPr>
            <w:r>
              <w:rPr/>
              <w:t>​</w:t>
            </w:r>
          </w:p>
        </w:tc>
        <w:tc>
          <w:tcPr>
            <w:tcW w:w="459"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center"/>
              <w:rPr/>
            </w:pPr>
            <w:r>
              <w:rPr/>
              <w:t>​</w:t>
            </w:r>
          </w:p>
        </w:tc>
        <w:tc>
          <w:tcPr>
            <w:tcW w:w="459" w:type="dxa"/>
            <w:tcBorders/>
            <w:vAlign w:val="center"/>
          </w:tcPr>
          <w:p>
            <w:pPr>
              <w:pStyle w:val="TableContents"/>
              <w:bidi w:val="0"/>
              <w:spacing w:before="0" w:after="1"/>
              <w:ind w:left="0" w:right="0" w:hanging="0"/>
              <w:jc w:val="center"/>
              <w:rPr/>
            </w:pPr>
            <w:r>
              <w:rPr/>
              <w:t>​</w:t>
            </w:r>
          </w:p>
        </w:tc>
        <w:tc>
          <w:tcPr>
            <w:tcW w:w="459"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center"/>
              <w:rPr/>
            </w:pPr>
            <w:r>
              <w:rPr/>
              <w:t>​</w:t>
            </w:r>
          </w:p>
        </w:tc>
        <w:tc>
          <w:tcPr>
            <w:tcW w:w="57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gains/(losses)</w:t>
            </w:r>
          </w:p>
        </w:tc>
        <w:tc>
          <w:tcPr>
            <w:tcW w:w="346" w:type="dxa"/>
            <w:tcBorders/>
            <w:vAlign w:val="center"/>
          </w:tcPr>
          <w:p>
            <w:pPr>
              <w:pStyle w:val="TableContents"/>
              <w:bidi w:val="0"/>
              <w:spacing w:before="0" w:after="1"/>
              <w:ind w:left="0" w:right="0" w:hanging="0"/>
              <w:jc w:val="center"/>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 currency</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25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Transaction gains (losses) recognized</w:t>
            </w:r>
          </w:p>
        </w:tc>
        <w:tc>
          <w:tcPr>
            <w:tcW w:w="34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 of</w:t>
            </w:r>
          </w:p>
        </w:tc>
        <w:tc>
          <w:tcPr>
            <w:tcW w:w="346" w:type="dxa"/>
            <w:tcBorders/>
            <w:vAlign w:val="center"/>
          </w:tcPr>
          <w:p>
            <w:pPr>
              <w:pStyle w:val="TableContents"/>
              <w:bidi w:val="0"/>
              <w:spacing w:before="0" w:after="1"/>
              <w:ind w:left="0" w:right="0" w:hanging="0"/>
              <w:jc w:val="center"/>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59" w:type="dxa"/>
            <w:tcBorders/>
            <w:vAlign w:val="center"/>
          </w:tcPr>
          <w:p>
            <w:pPr>
              <w:pStyle w:val="TableContents"/>
              <w:bidi w:val="0"/>
              <w:spacing w:before="0" w:after="1"/>
              <w:ind w:left="0" w:right="0" w:hanging="0"/>
              <w:jc w:val="center"/>
              <w:rPr/>
            </w:pPr>
            <w:r>
              <w:rPr/>
              <w:t>  ​ ​ ​</w:t>
            </w:r>
          </w:p>
        </w:tc>
        <w:tc>
          <w:tcPr>
            <w:tcW w:w="7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59" w:type="dxa"/>
            <w:tcBorders/>
            <w:vAlign w:val="center"/>
          </w:tcPr>
          <w:p>
            <w:pPr>
              <w:pStyle w:val="TableContents"/>
              <w:bidi w:val="0"/>
              <w:spacing w:before="0" w:after="1"/>
              <w:ind w:left="0" w:right="0" w:hanging="0"/>
              <w:jc w:val="center"/>
              <w:rPr/>
            </w:pPr>
            <w:r>
              <w:rPr/>
              <w:t>  ​ ​ ​</w:t>
            </w:r>
          </w:p>
        </w:tc>
        <w:tc>
          <w:tcPr>
            <w:tcW w:w="8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46" w:type="dxa"/>
            <w:tcBorders/>
            <w:vAlign w:val="center"/>
          </w:tcPr>
          <w:p>
            <w:pPr>
              <w:pStyle w:val="TableContents"/>
              <w:bidi w:val="0"/>
              <w:spacing w:before="0" w:after="1"/>
              <w:ind w:left="0" w:right="0" w:hanging="0"/>
              <w:jc w:val="center"/>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rate changes</w:t>
            </w:r>
          </w:p>
        </w:tc>
        <w:tc>
          <w:tcPr>
            <w:tcW w:w="346" w:type="dxa"/>
            <w:tcBorders/>
            <w:vAlign w:val="center"/>
          </w:tcPr>
          <w:p>
            <w:pPr>
              <w:pStyle w:val="TableContents"/>
              <w:bidi w:val="0"/>
              <w:spacing w:before="0" w:after="1"/>
              <w:ind w:left="0" w:right="0" w:hanging="0"/>
              <w:jc w:val="center"/>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 vs 2025</w:t>
            </w:r>
          </w:p>
        </w:tc>
      </w:tr>
      <w:tr>
        <w:trPr/>
        <w:tc>
          <w:tcPr>
            <w:tcW w:w="8508"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586" w:type="dxa"/>
            <w:gridSpan w:val="14"/>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Impact on:</w:t>
            </w:r>
          </w:p>
        </w:tc>
        <w:tc>
          <w:tcPr>
            <w:tcW w:w="346" w:type="dxa"/>
            <w:tcBorders/>
            <w:shd w:fill="CCEEFF" w:val="clear"/>
            <w:vAlign w:val="center"/>
          </w:tcPr>
          <w:p>
            <w:pPr>
              <w:pStyle w:val="TableContents"/>
              <w:bidi w:val="0"/>
              <w:spacing w:before="0" w:after="1"/>
              <w:ind w:left="0" w:right="0" w:hanging="0"/>
              <w:jc w:val="left"/>
              <w:rPr/>
            </w:pPr>
            <w:r>
              <w:rPr/>
              <w:t> </w:t>
            </w:r>
          </w:p>
        </w:tc>
        <w:tc>
          <w:tcPr>
            <w:tcW w:w="280" w:type="dxa"/>
            <w:tcBorders/>
            <w:shd w:fill="CCEEFF" w:val="clear"/>
            <w:vAlign w:val="center"/>
          </w:tcPr>
          <w:p>
            <w:pPr>
              <w:pStyle w:val="TableContents"/>
              <w:bidi w:val="0"/>
              <w:spacing w:before="0" w:after="1"/>
              <w:ind w:left="0" w:right="0" w:hanging="0"/>
              <w:jc w:val="left"/>
              <w:rPr/>
            </w:pPr>
            <w:r>
              <w:rPr/>
              <w:t>​</w:t>
            </w:r>
          </w:p>
        </w:tc>
        <w:tc>
          <w:tcPr>
            <w:tcW w:w="459" w:type="dxa"/>
            <w:tcBorders/>
            <w:shd w:fill="CCEEFF" w:val="clear"/>
            <w:vAlign w:val="center"/>
          </w:tcPr>
          <w:p>
            <w:pPr>
              <w:pStyle w:val="TableContents"/>
              <w:bidi w:val="0"/>
              <w:spacing w:before="0" w:after="1"/>
              <w:ind w:left="0" w:right="0" w:hanging="0"/>
              <w:jc w:val="right"/>
              <w:rPr/>
            </w:pPr>
            <w:r>
              <w:rPr/>
              <w:t>  ​</w:t>
            </w:r>
          </w:p>
        </w:tc>
        <w:tc>
          <w:tcPr>
            <w:tcW w:w="459" w:type="dxa"/>
            <w:tcBorders/>
            <w:shd w:fill="CCEEFF" w:val="clear"/>
            <w:vAlign w:val="center"/>
          </w:tcPr>
          <w:p>
            <w:pPr>
              <w:pStyle w:val="TableContents"/>
              <w:bidi w:val="0"/>
              <w:spacing w:before="0" w:after="1"/>
              <w:ind w:left="0" w:right="0" w:hanging="0"/>
              <w:jc w:val="left"/>
              <w:rPr/>
            </w:pPr>
            <w:r>
              <w:rPr/>
              <w:t> </w:t>
            </w:r>
          </w:p>
        </w:tc>
        <w:tc>
          <w:tcPr>
            <w:tcW w:w="280" w:type="dxa"/>
            <w:tcBorders/>
            <w:shd w:fill="CCEEFF" w:val="clear"/>
            <w:vAlign w:val="center"/>
          </w:tcPr>
          <w:p>
            <w:pPr>
              <w:pStyle w:val="TableContents"/>
              <w:bidi w:val="0"/>
              <w:spacing w:before="0" w:after="1"/>
              <w:ind w:left="0" w:right="0" w:hanging="0"/>
              <w:jc w:val="left"/>
              <w:rPr/>
            </w:pPr>
            <w:r>
              <w:rPr/>
              <w:t>​</w:t>
            </w:r>
          </w:p>
        </w:tc>
        <w:tc>
          <w:tcPr>
            <w:tcW w:w="459" w:type="dxa"/>
            <w:tcBorders/>
            <w:shd w:fill="CCEEFF" w:val="clear"/>
            <w:vAlign w:val="center"/>
          </w:tcPr>
          <w:p>
            <w:pPr>
              <w:pStyle w:val="TableContents"/>
              <w:bidi w:val="0"/>
              <w:spacing w:before="0" w:after="1"/>
              <w:ind w:left="0" w:right="0" w:hanging="0"/>
              <w:jc w:val="right"/>
              <w:rPr/>
            </w:pPr>
            <w:r>
              <w:rPr/>
              <w:t>  ​</w:t>
            </w:r>
          </w:p>
        </w:tc>
        <w:tc>
          <w:tcPr>
            <w:tcW w:w="459" w:type="dxa"/>
            <w:tcBorders/>
            <w:shd w:fill="CCEEFF" w:val="clear"/>
            <w:vAlign w:val="center"/>
          </w:tcPr>
          <w:p>
            <w:pPr>
              <w:pStyle w:val="TableContents"/>
              <w:bidi w:val="0"/>
              <w:spacing w:before="0" w:after="1"/>
              <w:ind w:left="0" w:right="0" w:hanging="0"/>
              <w:jc w:val="left"/>
              <w:rPr/>
            </w:pPr>
            <w:r>
              <w:rPr/>
              <w:t> </w:t>
            </w:r>
          </w:p>
        </w:tc>
        <w:tc>
          <w:tcPr>
            <w:tcW w:w="280" w:type="dxa"/>
            <w:tcBorders/>
            <w:shd w:fill="CCEEFF" w:val="clear"/>
            <w:vAlign w:val="center"/>
          </w:tcPr>
          <w:p>
            <w:pPr>
              <w:pStyle w:val="TableContents"/>
              <w:bidi w:val="0"/>
              <w:spacing w:before="0" w:after="1"/>
              <w:ind w:left="0" w:right="0" w:hanging="0"/>
              <w:jc w:val="left"/>
              <w:rPr/>
            </w:pPr>
            <w:r>
              <w:rPr/>
              <w:t>​</w:t>
            </w:r>
          </w:p>
        </w:tc>
        <w:tc>
          <w:tcPr>
            <w:tcW w:w="5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485"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474"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  ​</w:t>
            </w:r>
          </w:p>
        </w:tc>
      </w:tr>
      <w:tr>
        <w:trPr/>
        <w:tc>
          <w:tcPr>
            <w:tcW w:w="1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9" w:type="dxa"/>
            <w:tcBorders/>
            <w:vAlign w:val="center"/>
          </w:tcPr>
          <w:p>
            <w:pPr>
              <w:pStyle w:val="TableContents"/>
              <w:bidi w:val="0"/>
              <w:spacing w:before="0" w:after="1"/>
              <w:ind w:left="0" w:right="0" w:hanging="0"/>
              <w:jc w:val="right"/>
              <w:rPr/>
            </w:pPr>
            <w:r>
              <w:rPr/>
              <w:t>—</w:t>
            </w:r>
          </w:p>
        </w:tc>
        <w:tc>
          <w:tcPr>
            <w:tcW w:w="459"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9" w:type="dxa"/>
            <w:tcBorders/>
            <w:vAlign w:val="center"/>
          </w:tcPr>
          <w:p>
            <w:pPr>
              <w:pStyle w:val="TableContents"/>
              <w:bidi w:val="0"/>
              <w:spacing w:before="0" w:after="1"/>
              <w:ind w:left="0" w:right="0" w:hanging="0"/>
              <w:jc w:val="right"/>
              <w:rPr/>
            </w:pPr>
            <w:r>
              <w:rPr/>
              <w:t>—</w:t>
            </w:r>
          </w:p>
        </w:tc>
        <w:tc>
          <w:tcPr>
            <w:tcW w:w="459"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w:t>
            </w:r>
          </w:p>
        </w:tc>
        <w:tc>
          <w:tcPr>
            <w:tcW w:w="4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4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459"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4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59"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left"/>
              <w:rPr/>
            </w:pPr>
            <w:r>
              <w:rPr/>
              <w:t> </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474"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$10 million increase in our Chemicals Segment net sales (translation gains) was caused primarily by a weakening of the U.S. dollar relative to the euro, as its euro-denominated sales were translated into more U.S. dollars in 2026 as compared to 2025. The weakening of the U.S. dollar relative to the Canadian dollar and the Norwegian krone in 2026 did not have a significant effect on our Chemicals Segment’s net sales, as a substantial portion of the sales generated by its Canadian and Norwegian operations is denominated in the U.S. dollar.</w:t>
      </w:r>
    </w:p>
    <w:p>
      <w:pPr>
        <w:pStyle w:val="TextBody"/>
        <w:bidi w:val="0"/>
        <w:spacing w:before="240" w:after="120"/>
        <w:ind w:left="0" w:right="0" w:firstLine="720"/>
        <w:jc w:val="both"/>
        <w:rPr>
          <w:rFonts w:ascii="Times New Roman;Times;serif" w:hAnsi="Times New Roman;Times;serif"/>
          <w:sz w:val="20"/>
        </w:rPr>
      </w:pPr>
      <w:r>
        <w:rPr>
          <w:rFonts w:ascii="Times New Roman;Times;serif" w:hAnsi="Times New Roman;Times;serif"/>
          <w:sz w:val="20"/>
        </w:rPr>
        <w:t>The $12 million decrease in our Chemicals Segment’s operating income was comprised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Higher net currency transaction losses of approximately $10 million primarily caused by relative changes in currency exchange rates at each applicable balance sheet date between the U.S. dollar and the euro, Canadian dollar and the Norwegian krone, and between the euro and the Norwegian krone, which causes increases or decreases, as applicable, in U.S. dollar-denominated receivables and payables and U.S. dollar currency held by our Chemicals Segment’s non-U.S. operations, and in Norwegian krone denominated receivables and payables held by our Chemicals Segment’s non-U.S. operations. In the first quarter of 2025, our Chemicals Segment entered into a currency forward contract to purchase €25 million at an exchange rate of €1.05 per U.S. dollar. Our Chemicals Segment recognized a $2.3 million currency transaction gain which was included in our Condensed Consolidated Statement of Income for the three months ended June 30, 2025,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$2 million from net currency translation losses primarily caused by a weakening of the U.S. dollar relative to the Canadian dollar, Norwegian krone and euro, as our Chemicals Segment’s local currency-denominated operating costs were translated into more U.S. dollars in 2026 as compared to 2025. The net translation gains from the favorable effects of the weaker U.S. dollar on euro-denominated sales more than offset the negative effects on euro-denominated operating costs being translated into more U.S. dollars in 2026 as compared to 2025.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70">
                <wp:simplePos x="0" y="0"/>
                <wp:positionH relativeFrom="page">
                  <wp:posOffset>0</wp:posOffset>
                </wp:positionH>
                <wp:positionV relativeFrom="line">
                  <wp:posOffset>635</wp:posOffset>
                </wp:positionV>
                <wp:extent cx="6480175" cy="175260"/>
                <wp:effectExtent l="0" t="0" r="0" b="0"/>
                <wp:wrapNone/>
                <wp:docPr id="369" name="Frame3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tbl>
      <w:tblPr>
        <w:tblW w:w="8508" w:type="dxa"/>
        <w:jc w:val="left"/>
        <w:tblInd w:w="0" w:type="dxa"/>
        <w:tblLayout w:type="fixed"/>
        <w:tblCellMar>
          <w:top w:w="0" w:type="dxa"/>
          <w:left w:w="0" w:type="dxa"/>
          <w:bottom w:w="0" w:type="dxa"/>
          <w:right w:w="0" w:type="dxa"/>
        </w:tblCellMar>
      </w:tblPr>
      <w:tblGrid>
        <w:gridCol w:w="1576"/>
        <w:gridCol w:w="346"/>
        <w:gridCol w:w="280"/>
        <w:gridCol w:w="459"/>
        <w:gridCol w:w="459"/>
        <w:gridCol w:w="280"/>
        <w:gridCol w:w="459"/>
        <w:gridCol w:w="459"/>
        <w:gridCol w:w="280"/>
        <w:gridCol w:w="578"/>
        <w:gridCol w:w="346"/>
        <w:gridCol w:w="485"/>
        <w:gridCol w:w="730"/>
        <w:gridCol w:w="346"/>
        <w:gridCol w:w="474"/>
        <w:gridCol w:w="95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000760" cy="175260"/>
                      <wp:effectExtent l="0" t="0" r="0" b="0"/>
                      <wp:wrapNone/>
                      <wp:docPr id="370" name="Frame370"/>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71"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77800" cy="175260"/>
                      <wp:effectExtent l="0" t="0" r="0" b="0"/>
                      <wp:wrapNone/>
                      <wp:docPr id="372" name="Frame372"/>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91465" cy="175260"/>
                      <wp:effectExtent l="0" t="0" r="0" b="0"/>
                      <wp:wrapNone/>
                      <wp:docPr id="373" name="Frame373"/>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91465" cy="175260"/>
                      <wp:effectExtent l="0" t="0" r="0" b="0"/>
                      <wp:wrapNone/>
                      <wp:docPr id="374" name="Frame374"/>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77800" cy="175260"/>
                      <wp:effectExtent l="0" t="0" r="0" b="0"/>
                      <wp:wrapNone/>
                      <wp:docPr id="375" name="Frame375"/>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91465" cy="175260"/>
                      <wp:effectExtent l="0" t="0" r="0" b="0"/>
                      <wp:wrapNone/>
                      <wp:docPr id="376" name="Frame376"/>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91465" cy="175260"/>
                      <wp:effectExtent l="0" t="0" r="0" b="0"/>
                      <wp:wrapNone/>
                      <wp:docPr id="377" name="Frame377"/>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77800" cy="175260"/>
                      <wp:effectExtent l="0" t="0" r="0" b="0"/>
                      <wp:wrapNone/>
                      <wp:docPr id="378" name="Frame378"/>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67030" cy="175260"/>
                      <wp:effectExtent l="0" t="0" r="0" b="0"/>
                      <wp:wrapNone/>
                      <wp:docPr id="379" name="Frame379"/>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07975" cy="175260"/>
                      <wp:effectExtent l="0" t="0" r="0" b="0"/>
                      <wp:wrapNone/>
                      <wp:docPr id="381" name="Frame381"/>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63550" cy="175260"/>
                      <wp:effectExtent l="0" t="0" r="0" b="0"/>
                      <wp:wrapNone/>
                      <wp:docPr id="382" name="Frame382"/>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300990" cy="175260"/>
                      <wp:effectExtent l="0" t="0" r="0" b="0"/>
                      <wp:wrapNone/>
                      <wp:docPr id="384" name="Frame384"/>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03885" cy="175260"/>
                      <wp:effectExtent l="0" t="0" r="0" b="0"/>
                      <wp:wrapNone/>
                      <wp:docPr id="385" name="Frame385"/>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508" w:type="dxa"/>
            <w:gridSpan w:val="16"/>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Impact of changes in currency exchange rates</w:t>
            </w:r>
          </w:p>
        </w:tc>
      </w:tr>
      <w:tr>
        <w:trPr/>
        <w:tc>
          <w:tcPr>
            <w:tcW w:w="8508"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2026 vs June 30, 2025</w: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center"/>
              <w:rPr/>
            </w:pPr>
            <w:r>
              <w:rPr/>
              <w:t>​</w:t>
            </w:r>
          </w:p>
        </w:tc>
        <w:tc>
          <w:tcPr>
            <w:tcW w:w="459" w:type="dxa"/>
            <w:tcBorders/>
            <w:vAlign w:val="center"/>
          </w:tcPr>
          <w:p>
            <w:pPr>
              <w:pStyle w:val="TableContents"/>
              <w:bidi w:val="0"/>
              <w:spacing w:before="0" w:after="0"/>
              <w:ind w:left="0" w:right="0" w:hanging="0"/>
              <w:jc w:val="center"/>
              <w:rPr/>
            </w:pPr>
            <w:r>
              <w:rPr/>
              <w:t>​</w:t>
            </w:r>
          </w:p>
        </w:tc>
        <w:tc>
          <w:tcPr>
            <w:tcW w:w="459"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center"/>
              <w:rPr/>
            </w:pPr>
            <w:r>
              <w:rPr/>
              <w:t>​</w:t>
            </w:r>
          </w:p>
        </w:tc>
        <w:tc>
          <w:tcPr>
            <w:tcW w:w="459" w:type="dxa"/>
            <w:tcBorders/>
            <w:vAlign w:val="center"/>
          </w:tcPr>
          <w:p>
            <w:pPr>
              <w:pStyle w:val="TableContents"/>
              <w:bidi w:val="0"/>
              <w:spacing w:before="0" w:after="0"/>
              <w:ind w:left="0" w:right="0" w:hanging="0"/>
              <w:jc w:val="center"/>
              <w:rPr/>
            </w:pPr>
            <w:r>
              <w:rPr/>
              <w:t>​</w:t>
            </w:r>
          </w:p>
        </w:tc>
        <w:tc>
          <w:tcPr>
            <w:tcW w:w="459"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center"/>
              <w:rPr/>
            </w:pPr>
            <w:r>
              <w:rPr/>
              <w:t>​</w:t>
            </w:r>
          </w:p>
        </w:tc>
        <w:tc>
          <w:tcPr>
            <w:tcW w:w="5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46" w:type="dxa"/>
            <w:tcBorders/>
            <w:vAlign w:val="center"/>
          </w:tcPr>
          <w:p>
            <w:pPr>
              <w:pStyle w:val="TableContents"/>
              <w:bidi w:val="0"/>
              <w:spacing w:before="0" w:after="0"/>
              <w:ind w:left="0" w:right="0" w:hanging="0"/>
              <w:jc w:val="center"/>
              <w:rPr/>
            </w:pPr>
            <w:r>
              <w:rPr/>
              <w:t>​</w:t>
            </w:r>
          </w:p>
        </w:tc>
        <w:tc>
          <w:tcPr>
            <w:tcW w:w="474" w:type="dxa"/>
            <w:tcBorders/>
            <w:vAlign w:val="center"/>
          </w:tcPr>
          <w:p>
            <w:pPr>
              <w:pStyle w:val="TableContents"/>
              <w:bidi w:val="0"/>
              <w:spacing w:before="0" w:after="0"/>
              <w:ind w:left="0" w:right="0" w:hanging="0"/>
              <w:jc w:val="center"/>
              <w:rPr/>
            </w:pPr>
            <w:r>
              <w:rPr/>
              <w:t>​</w:t>
            </w:r>
          </w:p>
        </w:tc>
        <w:tc>
          <w:tcPr>
            <w:tcW w:w="951" w:type="dxa"/>
            <w:tcBorders/>
            <w:vAlign w:val="center"/>
          </w:tcPr>
          <w:p>
            <w:pPr>
              <w:pStyle w:val="TableContents"/>
              <w:bidi w:val="0"/>
              <w:spacing w:before="0" w:after="0"/>
              <w:ind w:left="0" w:right="0" w:hanging="0"/>
              <w:jc w:val="center"/>
              <w:rPr/>
            </w:pPr>
            <w:r>
              <w:rPr/>
              <w:t>​</w: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center"/>
              <w:rPr/>
            </w:pPr>
            <w:r>
              <w:rPr/>
              <w:t>​</w:t>
            </w:r>
          </w:p>
        </w:tc>
        <w:tc>
          <w:tcPr>
            <w:tcW w:w="459" w:type="dxa"/>
            <w:tcBorders/>
            <w:vAlign w:val="center"/>
          </w:tcPr>
          <w:p>
            <w:pPr>
              <w:pStyle w:val="TableContents"/>
              <w:bidi w:val="0"/>
              <w:spacing w:before="0" w:after="0"/>
              <w:ind w:left="0" w:right="0" w:hanging="0"/>
              <w:jc w:val="center"/>
              <w:rPr/>
            </w:pPr>
            <w:r>
              <w:rPr/>
              <w:t>​</w:t>
            </w:r>
          </w:p>
        </w:tc>
        <w:tc>
          <w:tcPr>
            <w:tcW w:w="459"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center"/>
              <w:rPr/>
            </w:pPr>
            <w:r>
              <w:rPr/>
              <w:t>​</w:t>
            </w:r>
          </w:p>
        </w:tc>
        <w:tc>
          <w:tcPr>
            <w:tcW w:w="459" w:type="dxa"/>
            <w:tcBorders/>
            <w:vAlign w:val="center"/>
          </w:tcPr>
          <w:p>
            <w:pPr>
              <w:pStyle w:val="TableContents"/>
              <w:bidi w:val="0"/>
              <w:spacing w:before="0" w:after="0"/>
              <w:ind w:left="0" w:right="0" w:hanging="0"/>
              <w:jc w:val="center"/>
              <w:rPr/>
            </w:pPr>
            <w:r>
              <w:rPr/>
              <w:t>​</w:t>
            </w:r>
          </w:p>
        </w:tc>
        <w:tc>
          <w:tcPr>
            <w:tcW w:w="459"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center"/>
              <w:rPr/>
            </w:pPr>
            <w:r>
              <w:rPr/>
              <w:t>​</w:t>
            </w:r>
          </w:p>
        </w:tc>
        <w:tc>
          <w:tcPr>
            <w:tcW w:w="5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gains/(losses)</w:t>
            </w:r>
          </w:p>
        </w:tc>
        <w:tc>
          <w:tcPr>
            <w:tcW w:w="346" w:type="dxa"/>
            <w:tcBorders/>
            <w:vAlign w:val="center"/>
          </w:tcPr>
          <w:p>
            <w:pPr>
              <w:pStyle w:val="TableContents"/>
              <w:bidi w:val="0"/>
              <w:spacing w:before="0" w:after="0"/>
              <w:ind w:left="0" w:right="0" w:hanging="0"/>
              <w:jc w:val="center"/>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currency</w: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5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Transaction gains (losses) recognized</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impact of</w:t>
            </w:r>
          </w:p>
        </w:tc>
        <w:tc>
          <w:tcPr>
            <w:tcW w:w="346" w:type="dxa"/>
            <w:tcBorders/>
            <w:vAlign w:val="center"/>
          </w:tcPr>
          <w:p>
            <w:pPr>
              <w:pStyle w:val="TableContents"/>
              <w:bidi w:val="0"/>
              <w:spacing w:before="0" w:after="0"/>
              <w:ind w:left="0" w:right="0" w:hanging="0"/>
              <w:jc w:val="center"/>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impact</w: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59" w:type="dxa"/>
            <w:tcBorders/>
            <w:vAlign w:val="center"/>
          </w:tcPr>
          <w:p>
            <w:pPr>
              <w:pStyle w:val="TableContents"/>
              <w:bidi w:val="0"/>
              <w:spacing w:before="0" w:after="0"/>
              <w:ind w:left="0" w:right="0" w:hanging="0"/>
              <w:jc w:val="center"/>
              <w:rPr/>
            </w:pPr>
            <w:r>
              <w:rPr/>
              <w:t>  ​ ​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59" w:type="dxa"/>
            <w:tcBorders/>
            <w:vAlign w:val="center"/>
          </w:tcPr>
          <w:p>
            <w:pPr>
              <w:pStyle w:val="TableContents"/>
              <w:bidi w:val="0"/>
              <w:spacing w:before="0" w:after="0"/>
              <w:ind w:left="0" w:right="0" w:hanging="0"/>
              <w:jc w:val="center"/>
              <w:rPr/>
            </w:pPr>
            <w:r>
              <w:rPr/>
              <w:t>  ​ ​ ​</w:t>
            </w:r>
          </w:p>
        </w:tc>
        <w:tc>
          <w:tcPr>
            <w:tcW w:w="8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46" w:type="dxa"/>
            <w:tcBorders/>
            <w:vAlign w:val="center"/>
          </w:tcPr>
          <w:p>
            <w:pPr>
              <w:pStyle w:val="TableContents"/>
              <w:bidi w:val="0"/>
              <w:spacing w:before="0" w:after="0"/>
              <w:ind w:left="0" w:right="0" w:hanging="0"/>
              <w:jc w:val="center"/>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rate changes</w:t>
            </w:r>
          </w:p>
        </w:tc>
        <w:tc>
          <w:tcPr>
            <w:tcW w:w="346" w:type="dxa"/>
            <w:tcBorders/>
            <w:vAlign w:val="center"/>
          </w:tcPr>
          <w:p>
            <w:pPr>
              <w:pStyle w:val="TableContents"/>
              <w:bidi w:val="0"/>
              <w:spacing w:before="0" w:after="0"/>
              <w:ind w:left="0" w:right="0" w:hanging="0"/>
              <w:jc w:val="center"/>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 vs 2025</w:t>
            </w:r>
          </w:p>
        </w:tc>
      </w:tr>
      <w:tr>
        <w:trPr/>
        <w:tc>
          <w:tcPr>
            <w:tcW w:w="8508"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586" w:type="dxa"/>
            <w:gridSpan w:val="14"/>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Impact on:</w:t>
            </w:r>
          </w:p>
        </w:tc>
        <w:tc>
          <w:tcPr>
            <w:tcW w:w="346" w:type="dxa"/>
            <w:tcBorders/>
            <w:shd w:fill="CCEEFF" w:val="clear"/>
            <w:vAlign w:val="center"/>
          </w:tcPr>
          <w:p>
            <w:pPr>
              <w:pStyle w:val="TableContents"/>
              <w:bidi w:val="0"/>
              <w:spacing w:before="0" w:after="0"/>
              <w:ind w:left="0" w:right="0" w:hanging="0"/>
              <w:jc w:val="left"/>
              <w:rPr/>
            </w:pPr>
            <w:r>
              <w:rPr/>
              <w:t> </w:t>
            </w:r>
          </w:p>
        </w:tc>
        <w:tc>
          <w:tcPr>
            <w:tcW w:w="280" w:type="dxa"/>
            <w:tcBorders/>
            <w:shd w:fill="CCEEFF" w:val="clear"/>
            <w:vAlign w:val="center"/>
          </w:tcPr>
          <w:p>
            <w:pPr>
              <w:pStyle w:val="TableContents"/>
              <w:bidi w:val="0"/>
              <w:spacing w:before="0" w:after="0"/>
              <w:ind w:left="0" w:right="0" w:hanging="0"/>
              <w:jc w:val="left"/>
              <w:rPr/>
            </w:pPr>
            <w:r>
              <w:rPr/>
              <w:t>​</w:t>
            </w:r>
          </w:p>
        </w:tc>
        <w:tc>
          <w:tcPr>
            <w:tcW w:w="459" w:type="dxa"/>
            <w:tcBorders/>
            <w:shd w:fill="CCEEFF" w:val="clear"/>
            <w:vAlign w:val="center"/>
          </w:tcPr>
          <w:p>
            <w:pPr>
              <w:pStyle w:val="TableContents"/>
              <w:bidi w:val="0"/>
              <w:spacing w:before="0" w:after="0"/>
              <w:ind w:left="0" w:right="0" w:hanging="0"/>
              <w:jc w:val="right"/>
              <w:rPr/>
            </w:pPr>
            <w:r>
              <w:rPr/>
              <w:t>  ​</w:t>
            </w:r>
          </w:p>
        </w:tc>
        <w:tc>
          <w:tcPr>
            <w:tcW w:w="459" w:type="dxa"/>
            <w:tcBorders/>
            <w:shd w:fill="CCEEFF" w:val="clear"/>
            <w:vAlign w:val="center"/>
          </w:tcPr>
          <w:p>
            <w:pPr>
              <w:pStyle w:val="TableContents"/>
              <w:bidi w:val="0"/>
              <w:spacing w:before="0" w:after="0"/>
              <w:ind w:left="0" w:right="0" w:hanging="0"/>
              <w:jc w:val="left"/>
              <w:rPr/>
            </w:pPr>
            <w:r>
              <w:rPr/>
              <w:t> </w:t>
            </w:r>
          </w:p>
        </w:tc>
        <w:tc>
          <w:tcPr>
            <w:tcW w:w="280" w:type="dxa"/>
            <w:tcBorders/>
            <w:shd w:fill="CCEEFF" w:val="clear"/>
            <w:vAlign w:val="center"/>
          </w:tcPr>
          <w:p>
            <w:pPr>
              <w:pStyle w:val="TableContents"/>
              <w:bidi w:val="0"/>
              <w:spacing w:before="0" w:after="0"/>
              <w:ind w:left="0" w:right="0" w:hanging="0"/>
              <w:jc w:val="left"/>
              <w:rPr/>
            </w:pPr>
            <w:r>
              <w:rPr/>
              <w:t>​</w:t>
            </w:r>
          </w:p>
        </w:tc>
        <w:tc>
          <w:tcPr>
            <w:tcW w:w="459" w:type="dxa"/>
            <w:tcBorders/>
            <w:shd w:fill="CCEEFF" w:val="clear"/>
            <w:vAlign w:val="center"/>
          </w:tcPr>
          <w:p>
            <w:pPr>
              <w:pStyle w:val="TableContents"/>
              <w:bidi w:val="0"/>
              <w:spacing w:before="0" w:after="0"/>
              <w:ind w:left="0" w:right="0" w:hanging="0"/>
              <w:jc w:val="right"/>
              <w:rPr/>
            </w:pPr>
            <w:r>
              <w:rPr/>
              <w:t>  ​</w:t>
            </w:r>
          </w:p>
        </w:tc>
        <w:tc>
          <w:tcPr>
            <w:tcW w:w="459" w:type="dxa"/>
            <w:tcBorders/>
            <w:shd w:fill="CCEEFF" w:val="clear"/>
            <w:vAlign w:val="center"/>
          </w:tcPr>
          <w:p>
            <w:pPr>
              <w:pStyle w:val="TableContents"/>
              <w:bidi w:val="0"/>
              <w:spacing w:before="0" w:after="0"/>
              <w:ind w:left="0" w:right="0" w:hanging="0"/>
              <w:jc w:val="left"/>
              <w:rPr/>
            </w:pPr>
            <w:r>
              <w:rPr/>
              <w:t> </w:t>
            </w:r>
          </w:p>
        </w:tc>
        <w:tc>
          <w:tcPr>
            <w:tcW w:w="280" w:type="dxa"/>
            <w:tcBorders/>
            <w:shd w:fill="CCEEFF" w:val="clear"/>
            <w:vAlign w:val="center"/>
          </w:tcPr>
          <w:p>
            <w:pPr>
              <w:pStyle w:val="TableContents"/>
              <w:bidi w:val="0"/>
              <w:spacing w:before="0" w:after="0"/>
              <w:ind w:left="0" w:right="0" w:hanging="0"/>
              <w:jc w:val="left"/>
              <w:rPr/>
            </w:pPr>
            <w:r>
              <w:rPr/>
              <w:t>​</w:t>
            </w:r>
          </w:p>
        </w:tc>
        <w:tc>
          <w:tcPr>
            <w:tcW w:w="57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  ​</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9" w:type="dxa"/>
            <w:tcBorders/>
            <w:vAlign w:val="center"/>
          </w:tcPr>
          <w:p>
            <w:pPr>
              <w:pStyle w:val="TableContents"/>
              <w:bidi w:val="0"/>
              <w:spacing w:before="0" w:after="0"/>
              <w:ind w:left="0" w:right="0" w:hanging="0"/>
              <w:jc w:val="right"/>
              <w:rPr/>
            </w:pPr>
            <w:r>
              <w:rPr/>
              <w:t>—</w:t>
            </w:r>
          </w:p>
        </w:tc>
        <w:tc>
          <w:tcPr>
            <w:tcW w:w="45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9" w:type="dxa"/>
            <w:tcBorders/>
            <w:vAlign w:val="center"/>
          </w:tcPr>
          <w:p>
            <w:pPr>
              <w:pStyle w:val="TableContents"/>
              <w:bidi w:val="0"/>
              <w:spacing w:before="0" w:after="0"/>
              <w:ind w:left="0" w:right="0" w:hanging="0"/>
              <w:jc w:val="right"/>
              <w:rPr/>
            </w:pPr>
            <w:r>
              <w:rPr/>
              <w:t>—</w:t>
            </w:r>
          </w:p>
        </w:tc>
        <w:tc>
          <w:tcPr>
            <w:tcW w:w="45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4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5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4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5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left"/>
              <w:rPr/>
            </w:pPr>
            <w:r>
              <w:rPr/>
              <w:t> </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0"/>
        <w:ind w:left="490" w:right="0" w:hanging="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$41 million increase in our Chemicals Segment’s net sales (translation gains) was caused primarily by a weakening of the U.S. dollar relative to the euro, as its euro-denominated sales were translated into more U.S. dollars in 2026 as compared to 2025. The weakening of the U.S. dollar relative to the Canadian dollar and the Norwegian krone in 2026 did not have a significant effect on our Chemicals Segment’s net sales, as a substantial portion of the sales generated by its Canadian and Norwegian operations is denominated in the U.S. dollar.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$18 million decrease in our Chemicals Segment’s operating income was comprised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net currency transaction losses of approximately $11 million primarily caused by relative changes in currency exchange rates at each applicable balance sheet date between the U.S. dollar and the euro, Canadian dollar and the Norwegian krone, and between the euro and the Norwegian krone, which causes increases or decreases, as applicable, in U.S. dollar-denominated receivables and payables and U.S. dollar currency held by our Chemicals Segment’s non-U.S. operations, and in Norwegian krone denominated receivables and payables held by our Chemicals Segment’s non-U.S. operations. In the first quarter of 2025, our Chemicals Segment entered into a currency forward contract to purchase €25 million at an exchange rate of €1.05 per U.S. dollar. Our Chemicals Segment recognized a $3.2 million currency transaction gain which was included in our Condensed Consolidated Statement of Income for the six months ended June 30,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$7 million from net currency translation losses primarily caused by a weakening of the U.S. dollar relative to the Canadian dollar, Norwegian krone and euro, as local currency-denominated operating costs were translated into more U.S. dollars in 2026 as compared to 2025. The net translation gains from the favorable effects of the weaker U.S. dollar on euro-denominated sales more than offset the negative effects on euro-denominated operating costs being translated into more U.S. dollars in 2026 as compared to 2025.</w:t>
            </w:r>
          </w:p>
        </w:tc>
      </w:tr>
    </w:tbl>
    <w:p>
      <w:pPr>
        <w:pStyle w:val="TextBody"/>
        <w:bidi w:val="0"/>
        <w:spacing w:before="0" w:after="0"/>
        <w:ind w:left="49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Outlook –</w:t>
      </w:r>
      <w:r>
        <w:rPr>
          <w:rFonts w:ascii="Times New Roman;Times;serif" w:hAnsi="Times New Roman;Times;serif"/>
          <w:sz w:val="20"/>
        </w:rPr>
        <w:t xml:space="preserve"> During the second quarter of 2026, our Chemicals Segment continued the positive momentum from the first quarter, with sales volumes improving compared to the same period in 2025. Volume growth was driven by higher sales across all major markets as a result of market share gains, particularly in Europe, reflecting changing competitive and supply conditions that created opportunities to expand its customer base. While demand has improved compared to 2025, overall demand remains below historical levels, particularly in North America, where demand continues to be affected by broader economic uncertainty, prolonged elevated interest rates and subdued consumer spending. Our Chemicals Segment believes industry-wide TiO</w:t>
      </w:r>
      <w:r>
        <w:rPr>
          <w:rFonts w:ascii="Times New Roman;Times;serif" w:hAnsi="Times New Roman;Times;serif"/>
          <w:sz w:val="15"/>
        </w:rPr>
        <w:t>2</w:t>
      </w:r>
      <w:r>
        <w:rPr>
          <w:rFonts w:ascii="Times New Roman;Times;serif" w:hAnsi="Times New Roman;Times;serif"/>
          <w:sz w:val="20"/>
        </w:rPr>
        <w:t xml:space="preserve"> inventories remain constrained and customer order levels have improved in response to geopolitical instability and recent supply and shipping disruptions in certain regions. As a result, customer order lead times have lengthened. Our Chemicals Segment’s order backlog entering the third quarter is favorable compared to prior year, providing greater flexibility in its near- and intermediate-term production planning.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Based on our Chemicals Segment’s performance during the first six months of 2026, our Chemicals Segment currently expects full-year net sales to exceed 2025 levels and it expects gross margin and operating income margins to improve compared to 2025. Our Chemicals Segment implemented additional price increases and surcharges during the second quarter of 2026 in response to higher production, energy and logistic costs, and it expects the overall pricing environment to remain favorable through the remainder of the year. While our Chemicals Segment’s overall selling prices remain below prior year levels, industry supply conditions and ongoing pricing initiatives are expected to support further price increases during the second half of 2026. However, additional pricing actions may be required to further improve profit margins toward historical levels.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cost reduction initiatives implemented by our Chemicals Segment during the fourth quarter of 2025, including workforce reductions and other measures, designed to align its cost structure with current demand levels, continue to benefit its operating results in 2026. During the second quarter of 2026, our Chemicals Segment realized improved gross margins, and it expects margins to continue to benefit from lower cost inventory produced during 2026 and more favorable selling prices. Our Chemicals Segment’s operational restructuring allows it to run its facilities more efficiently at lower production rates for extended periods while maintaining flexibility to respond to changing market conditions. Our Chemicals Segment operated its facilities within its normal capacity range during the first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87">
                <wp:simplePos x="0" y="0"/>
                <wp:positionH relativeFrom="page">
                  <wp:posOffset>0</wp:posOffset>
                </wp:positionH>
                <wp:positionV relativeFrom="line">
                  <wp:posOffset>635</wp:posOffset>
                </wp:positionV>
                <wp:extent cx="6480175" cy="175260"/>
                <wp:effectExtent l="0" t="0" r="0" b="0"/>
                <wp:wrapNone/>
                <wp:docPr id="386" name="Frame3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six months of 2026, and our Chemicals Segment currently expects to continue operating within its normal capacity range for the remainder of the year.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Chemicals Segment remains focused on improving profitability through pricing actions, disciplined cost management, and continued execution of its operating cost structural realignment initiatives. Our Chemicals Segment also continues to pursue sales growth opportunities in regions affected by changing competitive and supply conditions, logistical challenges and trade measures that have reduced the competitiveness of certain imports.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Liquidity and capital resources remain sufficient to support our Chemicals Segment’s operations and planned capital investments. While our Chemicals Segment typically experiences significant seasonal cash usage in the first half of the year, it expects cash on hand to improve over the remainder of the year. Our Chemicals Segment will continue to actively manage working capital, including inventories and receivables, to bolster operating cash flows and maintain financial flexibility. Our Chemicals Segment believes its revolving credit facility availability, combined with the absence of near-term debt maturities and improved operating cash flows, will provide adequate liquidity for expected working capital needs and capital allocation requirements.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expectations for the TiO</w:t>
      </w:r>
      <w:r>
        <w:rPr>
          <w:rFonts w:ascii="Times New Roman;Times;serif" w:hAnsi="Times New Roman;Times;serif"/>
          <w:sz w:val="15"/>
        </w:rPr>
        <w:t>2</w:t>
      </w:r>
      <w:r>
        <w:rPr>
          <w:rFonts w:ascii="Times New Roman;Times;serif" w:hAnsi="Times New Roman;Times;serif"/>
          <w:sz w:val="20"/>
        </w:rPr>
        <w:t xml:space="preserve"> industry and our Chemicals Segment’s operations are based on a number of factors outside our control. Our Chemicals Segment’s operations are affected by global and regional economic, political and regulatory factors, and it has experienced global market disruptions. Future impacts on our Chemicals Segment’s operations will depend on, among other things, future energy costs, the effect of newly enacted tariffs in jurisdictions where it or its customers and suppliers operate, its success in implementing mitigation strategies, and the impact of economic conditions, consumer confidence, and geopolitical events on its operations or its customers’ and suppliers’ operations, all of which remain uncertain and cannot be predicted.</w:t>
      </w:r>
    </w:p>
    <w:p>
      <w:pPr>
        <w:pStyle w:val="TextBody"/>
        <w:bidi w:val="0"/>
        <w:spacing w:before="200" w:after="200"/>
        <w:ind w:left="0" w:right="0" w:hanging="0"/>
        <w:jc w:val="left"/>
        <w:rPr>
          <w:rFonts w:ascii="Times New Roman;Times;serif" w:hAnsi="Times New Roman;Times;serif"/>
          <w:b/>
          <w:sz w:val="20"/>
        </w:rPr>
      </w:pPr>
      <w:r>
        <w:rPr>
          <w:rFonts w:ascii="Times New Roman;Times;serif" w:hAnsi="Times New Roman;Times;serif"/>
          <w:b/>
          <w:sz w:val="20"/>
        </w:rPr>
        <w:t>Component Products –</w:t>
      </w:r>
    </w:p>
    <w:p>
      <w:pPr>
        <w:pStyle w:val="TextBody"/>
        <w:bidi w:val="0"/>
        <w:spacing w:before="120" w:after="200"/>
        <w:ind w:left="0" w:right="0" w:firstLine="720"/>
        <w:jc w:val="both"/>
        <w:rPr>
          <w:rFonts w:ascii="Times New Roman;Times;serif" w:hAnsi="Times New Roman;Times;serif"/>
          <w:sz w:val="20"/>
        </w:rPr>
      </w:pPr>
      <w:r>
        <w:rPr>
          <w:rFonts w:ascii="Times New Roman;Times;serif" w:hAnsi="Times New Roman;Times;serif"/>
          <w:sz w:val="20"/>
        </w:rPr>
        <w:t>Our Component Products Segment’s product offerings consist of a significantly large number of products that have a wide variation in selling price and manufacturing cost, which results in certain practical limitations on its ability to quantify the impact of changes in individual product sales quantities and selling prices on the segment’s net sales, cost of sales and gross margin. In addition, small variations in period-to-period net sales, cost of sales and gross margin can result from changes in the relative mix of our Component Products Segment’s products sold. The key performance indicator for our Component Products Segment is operating income</w:t>
      </w:r>
      <w:r>
        <w:rPr>
          <w:rFonts w:ascii="Times New Roman;Times;serif" w:hAnsi="Times New Roman;Times;serif"/>
          <w:b/>
          <w:sz w:val="20"/>
        </w:rPr>
        <w:t>.</w:t>
      </w:r>
    </w:p>
    <w:p>
      <w:pPr>
        <w:pStyle w:val="TextBody"/>
        <w:bidi w:val="0"/>
        <w:spacing w:before="240" w:after="200"/>
        <w:ind w:left="0" w:right="0" w:firstLine="720"/>
        <w:jc w:val="both"/>
        <w:rPr>
          <w:rFonts w:ascii="Times New Roman;Times;serif" w:hAnsi="Times New Roman;Times;serif"/>
          <w:sz w:val="20"/>
        </w:rPr>
      </w:pPr>
      <w:r>
        <w:rPr>
          <w:rFonts w:ascii="Times New Roman;Times;serif" w:hAnsi="Times New Roman;Times;serif"/>
          <w:sz w:val="20"/>
        </w:rPr>
        <w:t>Our Component Products Segment’s operating income in the second quarter of 2026 was $8.9 million compared to $6.3 million in the second quarter of 2025. Operating income for the first six months of 2026 was $16.0 million compared to $12.2 million for the comparable prior year period. Our Component Products Segment’s operating income increased in the second quarter and for the first six months of 2026 due to higher sales and gross margins, predominantly at the security products reporting unit, and to a lesser extent, at the marine components reporting unit.</w:t>
      </w:r>
    </w:p>
    <w:tbl>
      <w:tblPr>
        <w:tblW w:w="9367" w:type="dxa"/>
        <w:jc w:val="left"/>
        <w:tblInd w:w="0" w:type="dxa"/>
        <w:tblLayout w:type="fixed"/>
        <w:tblCellMar>
          <w:top w:w="0" w:type="dxa"/>
          <w:left w:w="0" w:type="dxa"/>
          <w:bottom w:w="0" w:type="dxa"/>
          <w:right w:w="0" w:type="dxa"/>
        </w:tblCellMar>
      </w:tblPr>
      <w:tblGrid>
        <w:gridCol w:w="1741"/>
        <w:gridCol w:w="346"/>
        <w:gridCol w:w="221"/>
        <w:gridCol w:w="489"/>
        <w:gridCol w:w="379"/>
        <w:gridCol w:w="221"/>
        <w:gridCol w:w="489"/>
        <w:gridCol w:w="346"/>
        <w:gridCol w:w="991"/>
        <w:gridCol w:w="271"/>
        <w:gridCol w:w="346"/>
        <w:gridCol w:w="221"/>
        <w:gridCol w:w="489"/>
        <w:gridCol w:w="379"/>
        <w:gridCol w:w="221"/>
        <w:gridCol w:w="489"/>
        <w:gridCol w:w="391"/>
        <w:gridCol w:w="991"/>
        <w:gridCol w:w="34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105535" cy="175260"/>
                      <wp:effectExtent l="0" t="0" r="0" b="0"/>
                      <wp:wrapNone/>
                      <wp:docPr id="387" name="Frame387"/>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40335" cy="175260"/>
                      <wp:effectExtent l="0" t="0" r="0" b="0"/>
                      <wp:wrapNone/>
                      <wp:docPr id="389" name="Frame38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10515" cy="175260"/>
                      <wp:effectExtent l="0" t="0" r="0" b="0"/>
                      <wp:wrapNone/>
                      <wp:docPr id="390" name="Frame390"/>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40665" cy="175260"/>
                      <wp:effectExtent l="0" t="0" r="0" b="0"/>
                      <wp:wrapNone/>
                      <wp:docPr id="391" name="Frame391"/>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40335" cy="175260"/>
                      <wp:effectExtent l="0" t="0" r="0" b="0"/>
                      <wp:wrapNone/>
                      <wp:docPr id="392" name="Frame39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310515" cy="175260"/>
                      <wp:effectExtent l="0" t="0" r="0" b="0"/>
                      <wp:wrapNone/>
                      <wp:docPr id="393" name="Frame393"/>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4"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29285" cy="175260"/>
                      <wp:effectExtent l="0" t="0" r="0" b="0"/>
                      <wp:wrapNone/>
                      <wp:docPr id="395" name="Frame39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72085" cy="175260"/>
                      <wp:effectExtent l="0" t="0" r="0" b="0"/>
                      <wp:wrapNone/>
                      <wp:docPr id="396" name="Frame39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7"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40335" cy="175260"/>
                      <wp:effectExtent l="0" t="0" r="0" b="0"/>
                      <wp:wrapNone/>
                      <wp:docPr id="398" name="Frame39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310515" cy="175260"/>
                      <wp:effectExtent l="0" t="0" r="0" b="0"/>
                      <wp:wrapNone/>
                      <wp:docPr id="399" name="Frame399"/>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40665" cy="175260"/>
                      <wp:effectExtent l="0" t="0" r="0" b="0"/>
                      <wp:wrapNone/>
                      <wp:docPr id="400" name="Frame400"/>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40335" cy="175260"/>
                      <wp:effectExtent l="0" t="0" r="0" b="0"/>
                      <wp:wrapNone/>
                      <wp:docPr id="401" name="Frame40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10515" cy="175260"/>
                      <wp:effectExtent l="0" t="0" r="0" b="0"/>
                      <wp:wrapNone/>
                      <wp:docPr id="402" name="Frame402"/>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48285" cy="175260"/>
                      <wp:effectExtent l="0" t="0" r="0" b="0"/>
                      <wp:wrapNone/>
                      <wp:docPr id="403" name="Frame40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29285" cy="175260"/>
                      <wp:effectExtent l="0" t="0" r="0" b="0"/>
                      <wp:wrapNone/>
                      <wp:docPr id="404" name="Frame40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5"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36"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2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181"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c>
          <w:tcPr>
            <w:tcW w:w="34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9" w:type="dxa"/>
            <w:tcBorders/>
            <w:vAlign w:val="center"/>
          </w:tcPr>
          <w:p>
            <w:pPr>
              <w:pStyle w:val="TableContents"/>
              <w:bidi w:val="0"/>
              <w:spacing w:before="0" w:after="1"/>
              <w:ind w:left="0" w:right="0" w:hanging="0"/>
              <w:jc w:val="left"/>
              <w:rPr/>
            </w:pPr>
            <w:r>
              <w:rPr/>
              <w:t>  ​ ​ ​</w:t>
            </w:r>
          </w:p>
        </w:tc>
        <w:tc>
          <w:tcPr>
            <w:tcW w:w="7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2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9" w:type="dxa"/>
            <w:tcBorders/>
            <w:vAlign w:val="center"/>
          </w:tcPr>
          <w:p>
            <w:pPr>
              <w:pStyle w:val="TableContents"/>
              <w:bidi w:val="0"/>
              <w:spacing w:before="0" w:after="1"/>
              <w:ind w:left="0" w:right="0" w:hanging="0"/>
              <w:jc w:val="left"/>
              <w:rPr/>
            </w:pPr>
            <w:r>
              <w:rPr/>
              <w:t>  ​ ​ ​</w:t>
            </w:r>
          </w:p>
        </w:tc>
        <w:tc>
          <w:tcPr>
            <w:tcW w:w="7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46" w:type="dxa"/>
            <w:tcBorders/>
            <w:vAlign w:val="center"/>
          </w:tcPr>
          <w:p>
            <w:pPr>
              <w:pStyle w:val="TableContents"/>
              <w:bidi w:val="0"/>
              <w:spacing w:before="0" w:after="1"/>
              <w:ind w:left="0" w:right="0" w:hanging="0"/>
              <w:jc w:val="left"/>
              <w:rPr/>
            </w:pPr>
            <w:r>
              <w:rPr/>
              <w:t>​</w:t>
            </w:r>
          </w:p>
        </w:tc>
      </w:tr>
      <w:tr>
        <w:trPr/>
        <w:tc>
          <w:tcPr>
            <w:tcW w:w="9367"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99"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millions)</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99"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millions)</w:t>
            </w:r>
          </w:p>
        </w:tc>
        <w:tc>
          <w:tcPr>
            <w:tcW w:w="391"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37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33.3</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2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w:t>
            </w:r>
          </w:p>
        </w:tc>
        <w:tc>
          <w:tcPr>
            <w:tcW w:w="37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63.2</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4 </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21.0</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7 </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37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43.6</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37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84.2</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4 </w:t>
            </w:r>
          </w:p>
        </w:tc>
        <w:tc>
          <w:tcPr>
            <w:tcW w:w="346" w:type="dxa"/>
            <w:tcBorders/>
            <w:vAlign w:val="center"/>
          </w:tcPr>
          <w:p>
            <w:pPr>
              <w:pStyle w:val="TableContents"/>
              <w:bidi w:val="0"/>
              <w:spacing w:before="0" w:after="1"/>
              <w:ind w:left="0" w:right="0" w:hanging="0"/>
              <w:jc w:val="lef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28.1</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55.4</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79"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15.5</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79"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28.8</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15 </w:t>
            </w:r>
          </w:p>
        </w:tc>
        <w:tc>
          <w:tcPr>
            <w:tcW w:w="346" w:type="dxa"/>
            <w:tcBorders/>
            <w:vAlign w:val="center"/>
          </w:tcPr>
          <w:p>
            <w:pPr>
              <w:pStyle w:val="TableContents"/>
              <w:bidi w:val="0"/>
              <w:spacing w:before="0" w:after="1"/>
              <w:ind w:left="0" w:right="0" w:hanging="0"/>
              <w:jc w:val="lef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31 </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489" w:type="dxa"/>
            <w:tcBorders/>
            <w:vAlign w:val="center"/>
          </w:tcPr>
          <w:p>
            <w:pPr>
              <w:pStyle w:val="TableContents"/>
              <w:bidi w:val="0"/>
              <w:spacing w:before="0" w:after="1"/>
              <w:ind w:left="0" w:right="0" w:hanging="0"/>
              <w:jc w:val="right"/>
              <w:rPr/>
            </w:pPr>
            <w:r>
              <w:rPr/>
              <w:t>​</w:t>
            </w:r>
          </w:p>
        </w:tc>
        <w:tc>
          <w:tcPr>
            <w:tcW w:w="37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4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489" w:type="dxa"/>
            <w:tcBorders/>
            <w:vAlign w:val="center"/>
          </w:tcPr>
          <w:p>
            <w:pPr>
              <w:pStyle w:val="TableContents"/>
              <w:bidi w:val="0"/>
              <w:spacing w:before="0" w:after="1"/>
              <w:ind w:left="0" w:right="0" w:hanging="0"/>
              <w:jc w:val="right"/>
              <w:rPr/>
            </w:pPr>
            <w:r>
              <w:rPr/>
              <w:t>​</w:t>
            </w:r>
          </w:p>
        </w:tc>
        <w:tc>
          <w:tcPr>
            <w:tcW w:w="37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489"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489" w:type="dxa"/>
            <w:tcBorders/>
            <w:shd w:fill="CCEEFF" w:val="clear"/>
            <w:vAlign w:val="center"/>
          </w:tcPr>
          <w:p>
            <w:pPr>
              <w:pStyle w:val="TableContents"/>
              <w:bidi w:val="0"/>
              <w:spacing w:before="0" w:after="1"/>
              <w:ind w:left="0" w:right="0" w:hanging="0"/>
              <w:jc w:val="right"/>
              <w:rPr/>
            </w:pPr>
            <w:r>
              <w:rPr/>
              <w:t>  ​</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4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  ​</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489" w:type="dxa"/>
            <w:tcBorders/>
            <w:shd w:fill="CCEEFF" w:val="clear"/>
            <w:vAlign w:val="center"/>
          </w:tcPr>
          <w:p>
            <w:pPr>
              <w:pStyle w:val="TableContents"/>
              <w:bidi w:val="0"/>
              <w:spacing w:before="0" w:after="1"/>
              <w:ind w:left="0" w:right="0" w:hanging="0"/>
              <w:jc w:val="right"/>
              <w:rPr/>
            </w:pPr>
            <w:r>
              <w:rPr/>
              <w:t>  ​</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489"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w:t>
            </w:r>
          </w:p>
        </w:tc>
        <w:tc>
          <w:tcPr>
            <w:tcW w:w="3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991" w:type="dxa"/>
            <w:tcBorders/>
            <w:vAlign w:val="center"/>
          </w:tcPr>
          <w:p>
            <w:pPr>
              <w:pStyle w:val="TableContents"/>
              <w:bidi w:val="0"/>
              <w:spacing w:before="0" w:after="1"/>
              <w:ind w:left="0" w:right="0" w:hanging="0"/>
              <w:jc w:val="left"/>
              <w:rPr/>
            </w:pPr>
            <w:r>
              <w:rPr/>
              <w:t>  ​</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99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  ​</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7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  ​</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7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r>
    </w:tbl>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Net Sales </w:t>
      </w:r>
      <w:r>
        <w:rPr>
          <w:rFonts w:ascii="Times New Roman;Times;serif" w:hAnsi="Times New Roman;Times;serif"/>
          <w:sz w:val="20"/>
        </w:rPr>
        <w:t xml:space="preserve">– Our Component Products Segment’s net sales increased $3.3 million and $3.6 million in the second quarter and for the first six months of 2026, respectively, compared to the same periods in 2025 due to higher security products sales across a variety of markets and higher marine components sales to the industrial market. The increase in second quarter security products sales was primarily due to $.9 million higher sales to the healthcare market, $.7 million higher sales to the transportation market, $.5 million higher sales to distributors and $.4 million higher sales to the tool storage market. The increase in security products sales for the first six months of 2026 was primarily due to $.8 million higher sales to the transportation market, $.7 million higher sales to the tool storage market,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407">
                <wp:simplePos x="0" y="0"/>
                <wp:positionH relativeFrom="page">
                  <wp:posOffset>0</wp:posOffset>
                </wp:positionH>
                <wp:positionV relativeFrom="line">
                  <wp:posOffset>635</wp:posOffset>
                </wp:positionV>
                <wp:extent cx="6480175" cy="175260"/>
                <wp:effectExtent l="0" t="0" r="0" b="0"/>
                <wp:wrapNone/>
                <wp:docPr id="406" name="Frame4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$.6 million higher sales to the healthcare market and $.4 million higher sales to distributors. Sales to the government security market in the second quarter and in the first six months of 2026 were comparable to the same periods in 2025. The increase in second quarter marine components sales was primarily due to $1.6 million higher sales to the industrial market, partially offset by $1.0 million lower sales to the government market. The increase in marine components sales for the first six months of 2026 was primarily due to $3.5 million higher sales to the industrial market, partially offset by $1.5 million lower sales to the towboat market and $1.0 million lower sales to the government market. Towboat market sales in the first quarter of 2025 benefited from a one-time customer stocking event that did not repeat in 2026.</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Cost of Sales and Gross Margin </w:t>
      </w:r>
      <w:r>
        <w:rPr>
          <w:rFonts w:ascii="Times New Roman;Times;serif" w:hAnsi="Times New Roman;Times;serif"/>
          <w:sz w:val="20"/>
        </w:rPr>
        <w:t xml:space="preserve">– Our Component Products Segment’s cost of sales as a percentage of net sales improved by 4% and 3% in the second quarter and first six months of 2026, respectively, compared to the same periods in 2025. As a result, gross margin as a percentage of net sales increased over the same periods. The improvement in gross margin percentage for the second quarter and first six months of 2026 was primarily due to a higher gross margin percentage at security products. In addition, improved gross margin performance at marine components contributed favorably to the increase in the second-quarter comparative period. Marine components’ gross margin as a percentage of net sales increased in the second quarter of 2026 compared to the same period in 2025 primarily due to a more favorable customer and product mix, partially offset by higher cost of sales, including increased maintenance and supply costs. Marine components’ gross margin as a percentage of net sales for the first six months of 2026 was comparable to the same period in 2025 as a more favorable customer and product mix and increased coverage of fixed costs on higher sales were largely offset by higher cost of sales, including sales of higher-cost inventory and increased maintenance and supply costs. Security products’ gross margin as a percentage of net sales increased in the second quarter and first six months of 2026 compared to the same periods in 2025 primarily due to a more favorable customer and product mix and lower cost of sales driven by lower employer-related medical expenses and the recovery of one-time prior-period import costs recognized during the second quarter of 2026.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Operating Income </w:t>
      </w:r>
      <w:r>
        <w:rPr>
          <w:rFonts w:ascii="Times New Roman;Times;serif" w:hAnsi="Times New Roman;Times;serif"/>
          <w:sz w:val="20"/>
        </w:rPr>
        <w:t xml:space="preserve">– As a percentage of net sales, our Component Products Segment’s operating income for the second quarter and the first six months of 2026 increased compared to the same periods of 2025 and was primarily impacted by the factors affecting sales, cost of sales and gross margin discussed above.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 xml:space="preserve">Outlook – </w:t>
      </w:r>
      <w:r>
        <w:rPr>
          <w:rFonts w:ascii="Times New Roman;Times;serif" w:hAnsi="Times New Roman;Times;serif"/>
          <w:sz w:val="20"/>
        </w:rPr>
        <w:t>Our Component Products Segment’s results for the first six months of 2026 reflected higher sales and favorable customer and product mix for both the security products and marine components reporting units. Our Component Products Segment expects these trends to continue through the remainder of 2026, and it currently expects net sales for the full year of 2026 to exceed 2025 levels. Within the security products reporting unit, it expects demand from several end markets, including healthcare, transportation and tool storage, to remain strong in the second half of 2026. Within the marine components reporting unit, it expects increased demand will continue to be driven by industrial market demand, particularly aeroderivative demand, while recreational marine and towboat-related demand is expected to remain relatively consistent with 2025 levels (excluding the impact of the one-time stocking event noted above). Based on our Component Products Segment’s first-half operating performance, it currently expects full-year gross margin and operating income margins to exceed 2025 levels, although margins during the second half of 2026 may be challenged by the factors discussed below. Future operating results will continue to be influenced by product and customer mix, raw material costs and overall demand levels in the markets it serves.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Our Component Products Segment manufactures substantially all its products in the U.S. and sources a substantial majority of its raw materials from U.S. suppliers. Our Component Products Segment also sources certain components, primarily electronic components, from suppliers in Asia, including China. Beginning in the second quarter of 2025 and continuing through the second quarter of 2026, our Component Products Segment experienced cost increases for certain imported raw materials, primarily electronic components, including increases in tariffs and shipping costs. In addition, inflationary pressures have increased costs for certain domestically-sourced raw materials. Where possible, our Component Products Segment increases selling prices to recover these higher raw material costs, although the extent to which our Component Products Segment can fully recover such costs will depend on a variety of factors including the ultimate tariff rate, duration of tariffs, and our Component Products Segment’s customers’ ability to substitute alternative products. Accordingly, our Component Products Segment will continue to closely monitor raw material costs, including zinc, brass, aluminum, steel and energy, as well as current and anticipated customer demand levels, to ensure its production capacity and inventory levels remain aligned with market conditions.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Our Component Products Segment’s expectations for its operations and the markets it serves are based on a number of factors outside its control. Currently, our Component Products Segment’s supply chains are stable and transportation and logistical delays are minimal. Our Component Products Segment has experienced global and domestic supply chain challenges in the past. Any future impacts on its operations will depend on, among other things, disruption to its operations or its suppliers’ operations, the effect of tariffs, and the impact of broader economic conditions, consumer confidence, and geopolitical events affecting demand for its products or its customers’ and suppliers’ operations, all of which remain uncertain and cannot be predicted.</w:t>
      </w:r>
    </w:p>
    <w:p>
      <w:pPr>
        <w:pStyle w:val="TextBody"/>
        <w:bidi w:val="0"/>
        <w:spacing w:before="0" w:after="24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408">
                <wp:simplePos x="0" y="0"/>
                <wp:positionH relativeFrom="page">
                  <wp:posOffset>0</wp:posOffset>
                </wp:positionH>
                <wp:positionV relativeFrom="line">
                  <wp:posOffset>635</wp:posOffset>
                </wp:positionV>
                <wp:extent cx="6480175" cy="175260"/>
                <wp:effectExtent l="0" t="0" r="0" b="0"/>
                <wp:wrapNone/>
                <wp:docPr id="407" name="Frame4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Real Estate Management and Development</w:t>
      </w:r>
      <w:r>
        <w:rPr>
          <w:rFonts w:ascii="Times New Roman;Times;serif" w:hAnsi="Times New Roman;Times;serif"/>
          <w:sz w:val="20"/>
        </w:rPr>
        <w:t xml:space="preserve">  –</w:t>
      </w:r>
    </w:p>
    <w:tbl>
      <w:tblPr>
        <w:tblW w:w="5931" w:type="dxa"/>
        <w:jc w:val="left"/>
        <w:tblInd w:w="0" w:type="dxa"/>
        <w:tblLayout w:type="fixed"/>
        <w:tblCellMar>
          <w:top w:w="0" w:type="dxa"/>
          <w:left w:w="0" w:type="dxa"/>
          <w:bottom w:w="0" w:type="dxa"/>
          <w:right w:w="0" w:type="dxa"/>
        </w:tblCellMar>
      </w:tblPr>
      <w:tblGrid>
        <w:gridCol w:w="1621"/>
        <w:gridCol w:w="346"/>
        <w:gridCol w:w="225"/>
        <w:gridCol w:w="497"/>
        <w:gridCol w:w="369"/>
        <w:gridCol w:w="225"/>
        <w:gridCol w:w="497"/>
        <w:gridCol w:w="346"/>
        <w:gridCol w:w="211"/>
        <w:gridCol w:w="466"/>
        <w:gridCol w:w="346"/>
        <w:gridCol w:w="211"/>
        <w:gridCol w:w="571"/>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029335" cy="175260"/>
                      <wp:effectExtent l="0" t="0" r="0" b="0"/>
                      <wp:wrapNone/>
                      <wp:docPr id="408" name="Frame408"/>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42875" cy="175260"/>
                      <wp:effectExtent l="0" t="0" r="0" b="0"/>
                      <wp:wrapNone/>
                      <wp:docPr id="410" name="Frame410"/>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315595" cy="175260"/>
                      <wp:effectExtent l="0" t="0" r="0" b="0"/>
                      <wp:wrapNone/>
                      <wp:docPr id="411" name="Frame411"/>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34315" cy="175260"/>
                      <wp:effectExtent l="0" t="0" r="0" b="0"/>
                      <wp:wrapNone/>
                      <wp:docPr id="412" name="Frame412"/>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42875" cy="175260"/>
                      <wp:effectExtent l="0" t="0" r="0" b="0"/>
                      <wp:wrapNone/>
                      <wp:docPr id="413" name="Frame41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15595" cy="175260"/>
                      <wp:effectExtent l="0" t="0" r="0" b="0"/>
                      <wp:wrapNone/>
                      <wp:docPr id="414" name="Frame414"/>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4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95910" cy="175260"/>
                      <wp:effectExtent l="0" t="0" r="0" b="0"/>
                      <wp:wrapNone/>
                      <wp:docPr id="417" name="Frame41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9710" cy="175260"/>
                      <wp:effectExtent l="0" t="0" r="0" b="0"/>
                      <wp:wrapNone/>
                      <wp:docPr id="418"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19"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362585" cy="175260"/>
                      <wp:effectExtent l="0" t="0" r="0" b="0"/>
                      <wp:wrapNone/>
                      <wp:docPr id="420" name="Frame4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1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46" w:type="dxa"/>
            <w:tcBorders/>
            <w:vAlign w:val="center"/>
          </w:tcPr>
          <w:p>
            <w:pPr>
              <w:pStyle w:val="TableContents"/>
              <w:bidi w:val="0"/>
              <w:spacing w:before="0" w:after="1"/>
              <w:ind w:left="0" w:right="0" w:hanging="0"/>
              <w:jc w:val="left"/>
              <w:rPr/>
            </w:pPr>
            <w:r>
              <w:rPr/>
              <w:t>​</w:t>
            </w:r>
          </w:p>
        </w:tc>
        <w:tc>
          <w:tcPr>
            <w:tcW w:w="180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1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346" w:type="dxa"/>
            <w:tcBorders/>
            <w:vAlign w:val="center"/>
          </w:tcPr>
          <w:p>
            <w:pPr>
              <w:pStyle w:val="TableContents"/>
              <w:bidi w:val="0"/>
              <w:spacing w:before="0" w:after="1"/>
              <w:ind w:left="0" w:right="0" w:hanging="0"/>
              <w:jc w:val="left"/>
              <w:rPr/>
            </w:pPr>
            <w:r>
              <w:rPr/>
              <w:t>​</w:t>
            </w:r>
          </w:p>
        </w:tc>
        <w:tc>
          <w:tcPr>
            <w:tcW w:w="18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w:t>
            </w:r>
          </w:p>
        </w:tc>
      </w:tr>
      <w:tr>
        <w:trPr/>
        <w:tc>
          <w:tcPr>
            <w:tcW w:w="1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9" w:type="dxa"/>
            <w:tcBorders/>
            <w:vAlign w:val="center"/>
          </w:tcPr>
          <w:p>
            <w:pPr>
              <w:pStyle w:val="TableContents"/>
              <w:bidi w:val="0"/>
              <w:spacing w:before="0" w:after="1"/>
              <w:ind w:left="0" w:right="0" w:hanging="0"/>
              <w:jc w:val="center"/>
              <w:rPr/>
            </w:pPr>
            <w:r>
              <w:rPr/>
              <w:t>  ​ ​ ​</w:t>
            </w:r>
          </w:p>
        </w:tc>
        <w:tc>
          <w:tcPr>
            <w:tcW w:w="7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93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964"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6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14.1</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6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69"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Operating income </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6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29.7</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General – </w:t>
      </w:r>
      <w:r>
        <w:rPr>
          <w:rFonts w:ascii="Times New Roman;Times;serif" w:hAnsi="Times New Roman;Times;serif"/>
          <w:sz w:val="20"/>
        </w:rPr>
        <w:t xml:space="preserve">Our Real Estate Management and Development Segment consists of BMI and LandWell. BMI and LandWell owned and developed real property in Henderson, Nevada. LandWell is actively engaged in developing a residential/planned community in Henderson.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LandWell began marketing land for sale in the residential/planned community in December 2013 and sold the last remaining parcel during 2025. In addition, adjacent to the residential/planned community, LandWell has been actively marketing and selling land zoned for commercial and light industrial use and sold the last of those remaining parcels during the first quarter of 2026. Although land sales may be completed, we do not recognize revenue until we have satisfied the criteria for revenue recognition. In some instances, LandWell will receive cash proceeds at the time the contract closes and record deferred revenue for some or all of the cash amount received, with such deferred revenue being recognized in subsequent periods. Although all of the land in the residential/planned community has been sold, we continue to complete our development obligations. We expect the development work to be completed by the end of 2027.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Sales and Operating Income  –</w:t>
      </w:r>
      <w:r>
        <w:rPr>
          <w:rFonts w:ascii="Times New Roman;Times;serif" w:hAnsi="Times New Roman;Times;serif"/>
          <w:sz w:val="20"/>
        </w:rPr>
        <w:t xml:space="preserve"> Substantially all of the net sales from our Real Estate Management and Development Segment in the second quarter and the first six months of 2026 and 2025 were from land sales. We recognized $4.4 million in revenues on land sales during the second quarter of 2026 compared to $5.7 million in revenues in the second quarter of 2025 and $14.1 million in the first six months of 2026 compared to $14.2 million in the same prior year period. Net sales decreased $1.3 million in the second quarter of 2026 compared to the same period in 2025 primarily because of a slower pace of development activity for previously sold parcels within the residential/planned community as our Real Estate Management and Development Segment nears completion of its development work. Net sales for the first six months of 2026 slightly decreased compared to the first six months of 2025 due to the effect of a significantly slower pace of development activity for previously sold parcels within the residential/planned community, which was offset by the sale of the final commercial parcel for $7.3 million in the first quarter of 2026, which had no further development obligations and was therefore immediately recognized as revenue. As noted above, we recognize revenue in our residential/planned community over time using cost-based input methods. All of the revenue we recognized in 2025 and 2026 for our residential/planned community was under this method of revenue recognition. The pace of development activities is dictated by a number of factors such as city permit and design approval, approval from the Nevada Department of Environmental Protection, labor and materials availability, and the amount of remaining development obligations. Cost of sales were $2.1 million and $4.9 million in the second quarter and the first six months of 2026, respectively, compared to $2.8 million and $7.4 million in the second quarter and first six months of 2025, respectively. We recognized income of $11.3 million and $16.7 million in the second quarter and first six months of 2026, respectively, related to tax increment infrastructure reimbursement compared to $17.2 million in the second quarter and first six months of 2025. Additionally, in the second quarter of 2026, LandWell sold the office building used in operations and recognized a gain on the sale of approximately $5.8 million.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Outlook – </w:t>
      </w:r>
      <w:r>
        <w:rPr>
          <w:rFonts w:ascii="Times New Roman;Times;serif" w:hAnsi="Times New Roman;Times;serif"/>
          <w:sz w:val="20"/>
        </w:rPr>
        <w:t xml:space="preserve">LandWell is focused on completing development of the land it manages for the residential/planned community in Henderson. At June 30, 2026, all of the land in the residential/planned community had been sold as well as all saleable acreage zoned for light industrial and commercial use, including the office building LandWell used for its operations. As a result, we no longer own saleable land in Henderson. At June 30, 2026, we have deferred revenue of $24.0 million related to post-closing obligations on land sales in the residential/planned community closed prior to 2026. Because we recognize revenue over time using cost-based inputs, we will continue to recognize revenue on land previously sold over the development period, even though we have already received all the cash proceeds related to these sales. We currently expect to recognize substantially all remaining deferred revenue during 2026. Any delays or curtailments in infrastructure development related to post-closing obligation activities would delay the timing of revenue recognized on these previously closed land sales.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Under LandWell’s development agreement with the City of Henderson, the issuance of a specified number of housing permits requires LandWell to complete certain large community-wide infrastructure projects. Construction on several of these large projects began in late 2021 and is expected to be completed in late 2027. We expect 2026 land development costs to be lower than those in 2025 due to the timing of planned infrastructure projects and the availability of certain construction materials. Because these large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422">
                <wp:simplePos x="0" y="0"/>
                <wp:positionH relativeFrom="page">
                  <wp:posOffset>0</wp:posOffset>
                </wp:positionH>
                <wp:positionV relativeFrom="line">
                  <wp:posOffset>635</wp:posOffset>
                </wp:positionV>
                <wp:extent cx="6480175" cy="175260"/>
                <wp:effectExtent l="0" t="0" r="0" b="0"/>
                <wp:wrapNone/>
                <wp:docPr id="421" name="Frame4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infrastructure projects relate to the entirety of the residential/planned community, the associated costs are not part of the cost-based inputs used to recognize revenue, and therefore, this spending will not correlate to revenue recognition. However, this spending is eligible for tax increment reimbursement under our Owner Participation Agreement (“OPA”) with the City of Henderson. During the second quarter of 2026, LandWell received approval for the remaining $11 million of tax increment reimbursement, bringing the total approved reimbursement under the OPA to the maximum amount of $170 million. We expect to receive cash payments on the related notes receivables over the next 5 to 7 years. </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General Corporate and Other Items – 2026 Compared to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Changes in the Market Value of Valhi Common Stock held by Subsidiaries </w:t>
      </w:r>
      <w:r>
        <w:rPr>
          <w:rFonts w:ascii="Times New Roman;Times;serif" w:hAnsi="Times New Roman;Times;serif"/>
          <w:sz w:val="20"/>
        </w:rPr>
        <w:t>– Our subsidiaries, Kronos and NLI, hold shares of our common stock. As discussed in the 2025 Annual Report, we account for our proportional interest in these shares of our common stock as treasury stock at Kronos’ and NLI’s historical cost basis. The remaining portion of these shares of our common stock, which are attributable to the noncontrolling interest of Kronos and NLI, are reflected in our Condensed Consolidated Balance Sheet at fair value. Kronos and NLI recognize unrealized gains or losses on these shares of our common stock in the determination of each of their respective net income or loss. Under the principles of consolidation we eliminate any gains or losses associated with our common stock to the extent of our proportional ownership interest in each subsidiary. We recognized a $.1 million gain in the second quarter of 2026 compared to no gain or loss in the second quarter of 2025 and a gain of $.6 million in the first six months of 2026 compared to a loss of $1.7 million in the first six months of 2025, each of which was recognized in our Condensed Consolidated Statements of Income and represent the unrealized gain (loss) in respect of these shares during such periods attributable to the noncontrolling interest of Kronos and NLI.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Interest Income and Other </w:t>
      </w:r>
      <w:r>
        <w:rPr>
          <w:rFonts w:ascii="Times New Roman;Times;serif" w:hAnsi="Times New Roman;Times;serif"/>
          <w:sz w:val="20"/>
        </w:rPr>
        <w:t>– Interest income and other increased $.3 million in the second quarter of 2026 primarily due to increased interest income received on the Real Estate Management and Development OPA note receivable offset by decreased average investment balances and lower average interest rates. Interest income and other decreased $.5 million in the first six months of 2026 compared to the same period of 2025 primarily due to decreased average investment balances and lower average interest rates partially offset by increased interest income received on the Real Estate Management and Development OPA note receivable. See Note 12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 General Corporate Items </w:t>
      </w:r>
      <w:r>
        <w:rPr>
          <w:rFonts w:ascii="Times New Roman;Times;serif" w:hAnsi="Times New Roman;Times;serif"/>
          <w:sz w:val="20"/>
        </w:rPr>
        <w:t>– Corporate expenses were 2% lower in the second quarter of 2026 and 5% lower in the first six months of 2026 compared to the same respective periods in 2025 primarily due to lower environmental remediation and related costs. Included in corporate expense are: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fees and related costs at NLI of $.6 million in the second quarter of 2026 compared to $.7 million in the second quarter of 2025 and $1.2 million in each of the first six months of 2026 and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environmental remediation and related costs of $.3 million in the second quarter of 2026 compared to $1.2 million in the second quarter of 2025 and $1.0 million in the first six months of 2026 compared to $2.2 million in the first six months of 2025.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Overall, we currently expect that our net general corporate expenses in 2026 will be higher than in 2025 primarily due to expected increases in litigation fees and related costs, predominantly in the second half of the year. See Note 16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level of our litigation fees and related expenses varies from period to period depending upon, among other things, the number of cases in which we are currently involved, the nature of such cases and the current stage of such cases (e.g. discovery, pre-trial motions, trial or appeal, if applicable). See Note 16 to our Condensed Consolidated Financial Statements. If our current expectations regarding the number of cases in which we expect to be involved during 2026, or the nature of such cases were to change, our corporate expenses could be higher than we currently estimate.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Obligations for environmental remediation and related costs are difficult to assess and estimate and it is possible that actual costs for environmental remediation and related costs will exceed accrued amounts or that costs will be incurred in the future for sites in which we cannot currently estimate the liability. If these events occur in 2026, our corporate expense could be higher than we currently estimate. In addition, we adjust our accruals for environmental remediation and related costs as further information becomes available to us or as circumstances change. Such further information or changed circumstances could result in an increase or reduction in our accrued environmental remediation and related costs. See Note 16 to our Condensed Consolidated Financial Statements.</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423">
                <wp:simplePos x="0" y="0"/>
                <wp:positionH relativeFrom="page">
                  <wp:posOffset>0</wp:posOffset>
                </wp:positionH>
                <wp:positionV relativeFrom="line">
                  <wp:posOffset>635</wp:posOffset>
                </wp:positionV>
                <wp:extent cx="6480175" cy="175260"/>
                <wp:effectExtent l="0" t="0" r="0" b="0"/>
                <wp:wrapNone/>
                <wp:docPr id="422" name="Frame4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Interest Expense </w:t>
      </w:r>
      <w:r>
        <w:rPr>
          <w:rFonts w:ascii="Times New Roman;Times;serif" w:hAnsi="Times New Roman;Times;serif"/>
          <w:sz w:val="20"/>
        </w:rPr>
        <w:t>– Interest expense increased $.9 million and $2.4 million in the second quarter and first six months of 2026, respectively, compared to the same periods in 2025 primarily due to higher overall debt levels and higher average interest rates. See Note 7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expect interest expense will be higher in 2026 as compared to 2025 primarily due to higher average debt balances and higher interest rates on Kronos’ debt issued in the third quarter of 2025.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 We recognized income tax expense of $11.8 million in the second quarter of 2026 compared to income tax expense of $8.0 million in the second quarter of 2025 and income tax expense of $18.1 million in the first six months of 2026 compared to $16.0 million in the first six months of 2025.  The increase in the second quarter and first six months of 2026 is primarily due to higher earnings in 2026, the jurisdictional mix of such earnings, and a net uncertain tax position of $2.0 million recognized in the first quarter of 2026.  During interim periods, our effective tax rate may not necessarily correspond to the current period income (loss) before taxes due to the application of accounting for income taxes in interim periods which requires us to base our effective rate on full year projections of pre-tax income (loss).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recognize deferred income taxes with respect to the excess of the financial reporting carrying amount over the income tax basis of our direct investment in Kronos common stock because the exemption under GAAP to avoid such recognition of deferred income taxes is not available to us. At December 31, 2025, we recognized a deferred income tax liability with respect to our direct investment in Kronos of $49.7 million. There is a maximum amount (or cap) of such deferred income taxes we are required to recognize with respect to our direct investment in Kronos. The maximum amount of the cap is $153.6 million. During the first six months of 2026, we recognized a $2.8 million non-cash deferred income tax benefit with respect to our direct investment in Kronos. This benefit reflects a decrease in the deferred income taxes required to be recognized on the excess of the financial reporting carrying amount over the income tax basis of our direct investment in Kronos common stock and was related to our equity in Kronos’ net income during the period. We recognized a similar deferred income tax benefit of $2.2 million in the first six months of 2025. A portion of the net change with respect to the excess of the financial reporting carrying amount over the income tax basis of our direct investment in Kronos common stock during such periods related to our equity in Kronos’ other comprehensive income (loss) items, and the amounts allocated to other comprehensive income (loss) items includes amounts related to our equity in Kronos’ other comprehensive income (loss) items.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December 31, 2025, our Chemicals Segment had</w:t>
      </w:r>
      <w:r>
        <w:rPr>
          <w:rFonts w:ascii="Times New Roman;Times;serif" w:hAnsi="Times New Roman;Times;serif"/>
          <w:color w:val="FF0000"/>
          <w:sz w:val="20"/>
        </w:rPr>
        <w:t xml:space="preserve"> </w:t>
      </w:r>
      <w:r>
        <w:rPr>
          <w:rFonts w:ascii="Times New Roman;Times;serif" w:hAnsi="Times New Roman;Times;serif"/>
          <w:sz w:val="20"/>
        </w:rPr>
        <w:t>German corporate and trade net operating loss (“NOL”) carryforwards of $510.8 million (deferred tax asset (“DTA”) of $57.2 million) and $46.3 million (DTA of $5.0 million), respectively.  We have previously concluded no valuation allowance is required to be recognized with respect to such carryforwards principally because (i) such carryforwards have an indefinite carryforward period, (ii) we have utilized a portion of such carryforwards during the most recent three-year period and (iii) we currently expect to utilize the remainder of such carryforwards over the long term.  At June 30, 2026, we continue to conclude no valuation allowance is required to be recognized for our German DTAs. However, prior to the complete utilization of such carryforwards, if we were to generate additional losses in our German operations for an extended period of time, or if applicable laws were to change such that the carryforward periods were more limited, it is possible that we might conclude the benefit of such carryforwards would no longer meet the more-likely-than-not recognition criteria, at which point we would be required to recognize a valuation allowance against some or all of the then-remaining tax benefit associated with the carryforwards.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See Note 13 to our Condensed Consolidated Financial Statements for a tabular reconciliation of our statutory income tax provision to our actual tax provision.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Noncontrolling Interest in Net Income of Subsidiaries </w:t>
      </w:r>
      <w:r>
        <w:rPr>
          <w:rFonts w:ascii="Times New Roman;Times;serif" w:hAnsi="Times New Roman;Times;serif"/>
          <w:sz w:val="20"/>
        </w:rPr>
        <w:t>– Noncontrolling interest in operations of subsidiaries in the first six months of 2026 was higher compared to the same period in 2025 primarily due to increased operating income at our Real Estate Management and Development Segment and improved results of NLI. See Note 14 to our Condensed Consolidated Financial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Consolidated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Operating Activities </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Trends in cash flows from operating activities (excluding the impact of significant asset dispositions and relative changes in assets and liabilities) are generally similar to trends in our operating income. In addition to the impact of the operating, investing and financing cash flows discussed below, changes in the amount of cash, cash equivalents and restricted cash we report from period to period can be impacted by changes in currency exchange rates, since a portion of our cash, cash equivalents and restricted cash is held by our non-U.S. subsidiaries.</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424">
                <wp:simplePos x="0" y="0"/>
                <wp:positionH relativeFrom="page">
                  <wp:posOffset>0</wp:posOffset>
                </wp:positionH>
                <wp:positionV relativeFrom="line">
                  <wp:posOffset>635</wp:posOffset>
                </wp:positionV>
                <wp:extent cx="6480175" cy="175260"/>
                <wp:effectExtent l="0" t="0" r="0" b="0"/>
                <wp:wrapNone/>
                <wp:docPr id="423" name="Frame4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provided by operating activities was $13.0 million in the first six months of 2026 compared to cash used in operating activities of $134.2 million in the first six months of 2025. This $147.2 million increase in cash provided by operating activities in the first six months of 2026 includes: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consolidated operating income of $100.6 million in the first six months of 2026, an increase of $15.0 million compared to operating income of $85.6 million in the first six months of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cash paid for environmental remediation and related costs of $56.9 million primarily due to the payment of a settlement for an environmental site in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lower amount of net cash used in 2026 of $44.9 million associated with relative changes in our receivables, inventories, land held for development, accounts with affiliates, payables and accrued liabilities;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lower cash paid for taxes in 2026 of $31.7 million primarily due to our Chemicals Segment’s final repatriation tax installment payment under the 2017 Tax Act in 2025 of $18.6 million and the relative timing of payments;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cash paid for interest in 2026 of $4.8 million primarily due to increased debt levels and higher average interest rates relative to the comparable period in 2025 and the timing of interest payments.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noted in our discussion of our Real Estate Management and Development segment above, we have sold all of the land in our residential/planned community, and in accordance with our development agreement with the City of Henderson and our contractual obligations with builders, we expect to complete our land development obligations over the next two years.  Because we have largely received cash proceeds from land sales, we expect LandWell to generate negative operating cash flows as it completes its required land development work.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working capital were affected by accounts receivable and inventory changes as shown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average days sales outstanding (“DSO”) increased from December 31, 2025 to June 30, 2026 primarily due to the relative changes in the timing of sales and collections.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Kronos’ average days sales in inventory (“DSI”) decreased from December 31, 2025 to June 30, 2026 primarily due to lower inventory volumes attributable to sales volumes exceeding production volumes in the first six months of 2026.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CompX’s average DSO increased from December 31, 2025 to June 30, 2026 primarily due to the relative changes in the timing of sales and collections.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CompX’s average DSI decreased from December 31, 2025 to June 30, 2026 primarily due to a reduction in days in inventory at the security products reporting unit, driven by higher sales volumes in the second quarter of 2026 compared to the fourth quarter of 2025. This improvement was partially offset by an increase in days in inventory at the marine components reporting unit, primarily due to higher work-in-process inventory balances resulting from delays in certain raw material shipments, as well as the timing of customer order fulfillment. </w:t>
            </w:r>
          </w:p>
        </w:tc>
      </w:tr>
    </w:tbl>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425">
                <wp:simplePos x="0" y="0"/>
                <wp:positionH relativeFrom="page">
                  <wp:posOffset>0</wp:posOffset>
                </wp:positionH>
                <wp:positionV relativeFrom="line">
                  <wp:posOffset>635</wp:posOffset>
                </wp:positionV>
                <wp:extent cx="6480175" cy="175260"/>
                <wp:effectExtent l="0" t="0" r="0" b="0"/>
                <wp:wrapNone/>
                <wp:docPr id="424" name="Frame4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comparative purposes, we have also provided comparable prior period numbers below.</w:t>
      </w:r>
    </w:p>
    <w:tbl>
      <w:tblPr>
        <w:tblW w:w="7809" w:type="dxa"/>
        <w:jc w:val="left"/>
        <w:tblInd w:w="0" w:type="dxa"/>
        <w:tblLayout w:type="fixed"/>
        <w:tblCellMar>
          <w:top w:w="0" w:type="dxa"/>
          <w:left w:w="0" w:type="dxa"/>
          <w:bottom w:w="0" w:type="dxa"/>
          <w:right w:w="0" w:type="dxa"/>
        </w:tblCellMar>
      </w:tblPr>
      <w:tblGrid>
        <w:gridCol w:w="2011"/>
        <w:gridCol w:w="346"/>
        <w:gridCol w:w="1306"/>
        <w:gridCol w:w="346"/>
        <w:gridCol w:w="856"/>
        <w:gridCol w:w="346"/>
        <w:gridCol w:w="1306"/>
        <w:gridCol w:w="346"/>
        <w:gridCol w:w="94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276985" cy="175260"/>
                      <wp:effectExtent l="0" t="0" r="0" b="0"/>
                      <wp:wrapNone/>
                      <wp:docPr id="425" name="Frame425"/>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829310" cy="175260"/>
                      <wp:effectExtent l="0" t="0" r="0" b="0"/>
                      <wp:wrapNone/>
                      <wp:docPr id="427" name="Frame42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43560" cy="175260"/>
                      <wp:effectExtent l="0" t="0" r="0" b="0"/>
                      <wp:wrapNone/>
                      <wp:docPr id="429" name="Frame429"/>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19710" cy="175260"/>
                      <wp:effectExtent l="0" t="0" r="0" b="0"/>
                      <wp:wrapNone/>
                      <wp:docPr id="430"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829310" cy="175260"/>
                      <wp:effectExtent l="0" t="0" r="0" b="0"/>
                      <wp:wrapNone/>
                      <wp:docPr id="431" name="Frame43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2"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00710" cy="175260"/>
                      <wp:effectExtent l="0" t="0" r="0" b="0"/>
                      <wp:wrapNone/>
                      <wp:docPr id="433" name="Frame43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center"/>
              <w:rPr/>
            </w:pPr>
            <w:r>
              <w:rPr/>
              <w:t>  ​ ​ ​</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center"/>
              <w:rPr/>
            </w:pPr>
            <w:r>
              <w:rPr/>
              <w:t>  ​ ​ ​</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center"/>
              <w:rPr/>
            </w:pPr>
            <w:r>
              <w:rPr/>
              <w:t>  ​ ​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Kronos:</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Days sales outstanding</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 days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 days</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 days</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 days</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Days sales in inventory</w:t>
            </w:r>
          </w:p>
        </w:tc>
        <w:tc>
          <w:tcPr>
            <w:tcW w:w="34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 days</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 days</w:t>
            </w:r>
          </w:p>
        </w:tc>
        <w:tc>
          <w:tcPr>
            <w:tcW w:w="34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 days</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 days</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Days sales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 days</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 days</w:t>
            </w:r>
          </w:p>
        </w:tc>
        <w:tc>
          <w:tcPr>
            <w:tcW w:w="34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 days</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 days</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Days sales in inventory</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 days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 days</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 days</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103 days</w:t>
            </w:r>
          </w:p>
        </w:tc>
      </w:tr>
    </w:tbl>
    <w:p>
      <w:pPr>
        <w:pStyle w:val="TextBody"/>
        <w:bidi w:val="0"/>
        <w:spacing w:before="200" w:after="0"/>
        <w:ind w:left="0" w:right="0" w:firstLine="720"/>
        <w:jc w:val="both"/>
        <w:rPr>
          <w:rFonts w:ascii="Times New Roman;Times;serif" w:hAnsi="Times New Roman;Times;serif"/>
          <w:sz w:val="20"/>
        </w:rPr>
      </w:pPr>
      <w:r>
        <w:rPr>
          <w:rFonts w:ascii="Times New Roman;Times;serif" w:hAnsi="Times New Roman;Times;serif"/>
          <w:sz w:val="20"/>
        </w:rPr>
        <w:t>We do not have complete access to the cash flows of our majority-owned subsidiaries, due in part to limitations contained in certain credit agreements of our subsidiaries and because we do not own 100% of these subsidiaries. A detail of our consolidated cash flows from operating activities is presented in the table below. Intercompany dividends have been eliminated.</w:t>
      </w:r>
    </w:p>
    <w:p>
      <w:pPr>
        <w:pStyle w:val="TextBody"/>
        <w:bidi w:val="0"/>
        <w:spacing w:before="0" w:after="0"/>
        <w:ind w:left="0" w:right="0" w:hanging="0"/>
        <w:jc w:val="left"/>
        <w:rPr/>
      </w:pPr>
      <w:r>
        <w:rPr/>
        <w:t>​</w:t>
      </w:r>
    </w:p>
    <w:tbl>
      <w:tblPr>
        <w:tblW w:w="6457" w:type="dxa"/>
        <w:jc w:val="left"/>
        <w:tblInd w:w="0" w:type="dxa"/>
        <w:tblLayout w:type="fixed"/>
        <w:tblCellMar>
          <w:top w:w="0" w:type="dxa"/>
          <w:left w:w="0" w:type="dxa"/>
          <w:bottom w:w="0" w:type="dxa"/>
          <w:right w:w="0" w:type="dxa"/>
        </w:tblCellMar>
      </w:tblPr>
      <w:tblGrid>
        <w:gridCol w:w="4021"/>
        <w:gridCol w:w="346"/>
        <w:gridCol w:w="211"/>
        <w:gridCol w:w="691"/>
        <w:gridCol w:w="346"/>
        <w:gridCol w:w="211"/>
        <w:gridCol w:w="631"/>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553335" cy="175260"/>
                      <wp:effectExtent l="0" t="0" r="0" b="0"/>
                      <wp:wrapNone/>
                      <wp:docPr id="434" name="Frame434"/>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6"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38785" cy="175260"/>
                      <wp:effectExtent l="0" t="0" r="0" b="0"/>
                      <wp:wrapNone/>
                      <wp:docPr id="437" name="Frame4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39"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00685" cy="175260"/>
                      <wp:effectExtent l="0" t="0" r="0" b="0"/>
                      <wp:wrapNone/>
                      <wp:docPr id="440" name="Frame44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9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45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9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Cash provided by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Valhi exclusive of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22.2</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NLI exclusive of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Tremont exclusive of subsidiaries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BMI</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LandWell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(36.9)</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13.0</w:t>
            </w:r>
          </w:p>
        </w:tc>
      </w:tr>
    </w:tbl>
    <w:p>
      <w:pPr>
        <w:pStyle w:val="TextBody"/>
        <w:bidi w:val="0"/>
        <w:spacing w:before="200" w:after="200"/>
        <w:ind w:left="0" w:right="0" w:hanging="0"/>
        <w:jc w:val="left"/>
        <w:rPr>
          <w:rFonts w:ascii="Times New Roman;Times;serif" w:hAnsi="Times New Roman;Times;serif"/>
          <w:b/>
          <w:i/>
          <w:sz w:val="20"/>
        </w:rPr>
      </w:pPr>
      <w:r>
        <w:rPr>
          <w:rFonts w:ascii="Times New Roman;Times;serif" w:hAnsi="Times New Roman;Times;serif"/>
          <w:b/>
          <w:i/>
          <w:sz w:val="20"/>
        </w:rPr>
        <w:t>Investing Activities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2026:</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spent $27.8 million in capital expenditures including $26.3 million in our Chemicals Segment and $1.5 million in our Component Products Segment;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LandWell received proceeds of $6.8 million on a building sale (see Note 12 to our Condensed Consolidated Financial Statements); and </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had net purchases of $.2 million of marketable securities. </w:t>
            </w:r>
          </w:p>
        </w:tc>
      </w:tr>
    </w:tbl>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Financing Activities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2026:</w:t>
      </w:r>
    </w:p>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Kronos had net borrowings of $28.4 million on its revolving credit facility; </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repaid $16.0 million under the Contran credit facility; and</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paid aggregate quarterly dividends to Valhi stockholders of $.16</w:t>
            </w:r>
            <w:r>
              <w:rPr>
                <w:caps w:val="false"/>
                <w:smallCaps w:val="false"/>
              </w:rPr>
              <w:t xml:space="preserve"> </w:t>
            </w:r>
            <w:r>
              <w:rPr>
                <w:rFonts w:ascii="Times New Roman;Times;serif" w:hAnsi="Times New Roman;Times;serif"/>
                <w:b w:val="false"/>
                <w:i w:val="false"/>
                <w:caps w:val="false"/>
                <w:smallCaps w:val="false"/>
                <w:sz w:val="20"/>
              </w:rPr>
              <w:t>per share ($4.5 million).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declaration and payment of future dividends, and the amount thereof, is discretionary and is dependent upon a number of factors including our current and future expected results of operations, financial condition, cash requirements for our businesses, contractual and other requirements and restrictions and other factors deemed relevant by our board of directors. The amount and timing of past dividends is not necessarily indicative of the amount or timing of any future dividends which might be paid. There are currently no contractual restrictions on the amount of dividends which we may pay. Distributions to noncontrolling interest in subsidiaries in the first six months of 2026 are comprised of CompX dividends paid to shareholders other than NLI, Kronos dividends paid to shareholders other than us and NLI, and LandWell dividends paid to partners other than us and BMI.</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442">
                <wp:simplePos x="0" y="0"/>
                <wp:positionH relativeFrom="page">
                  <wp:posOffset>0</wp:posOffset>
                </wp:positionH>
                <wp:positionV relativeFrom="line">
                  <wp:posOffset>635</wp:posOffset>
                </wp:positionV>
                <wp:extent cx="6480175" cy="175260"/>
                <wp:effectExtent l="0" t="0" r="0" b="0"/>
                <wp:wrapNone/>
                <wp:docPr id="441" name="Frame4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Debt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2026, our consolidated indebtedness was comprised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Valhi’s $7.6 million outstanding on its $125 million credit facility with Contran which is due no earlier than December 31, 2027;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426.174 million aggregate outstanding on Kronos’ 9.50% Senior Secured Notes due March 2029 ($487.7 million carrying amount, net of unamortized premium and unamortized debt issuance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$53.7 million outstanding on Kronos’ subordinated, unsecured term loan from Contran with an interest rate of 9.54% due September 2029 (the “Contran Term Loan”); </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 million outstanding on Kronos’ revolving credit facility (the “Global Revolver”); and</w:t>
            </w:r>
          </w:p>
        </w:tc>
      </w:tr>
    </w:tbl>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million on LandWell’s bank loan due April 2036.</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Availability under Kronos’ Global Revolver is subject to a borrowing base calculation, as defined in the agreement. The borrowing base calculated for the period ended June 30, 2026 was approximately $261 million.</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Contran Term loan is subordinated in right of payment to Kronos’ Senior Secured Notes and its Global Revolver. Kronos’ Senior Secured Notes, the Contran Term Loan and Kronos’ Global Revolver contain a number of covenants and restrictions which, among other things, restrict its ability to incur or guarantee additional debt, incur liens, pay dividends or make other restricted payments, or merge or consolidate with, or sell or transfer substantially all of its assets to, another entity, and contain other provisions and restrictive covenants customary in lending transactions of these types. Our credit agreements contain provisions which could result in the acceleration of indebtedness prior to their stated maturity for reasons other than defaults for failure to comply with typical financial or payment covenants. For example, the credit agreements allow the lender to accelerate the maturity of the indebtedness upon a change of control (as defined in the agreement) of the borrower. In addition, the credit agreements could result in the acceleration of all or a portion of the indebtedness following a sale of assets outside the ordinary course of business. The terms of all of our debt instruments are discussed in Note 9 to our Consolidated Financial Statements included in our 2025 Annual Report. We are in compliance with all of our debt covenants at June 30, 2026. We believe we will be able to continue to comply with the financial covenants contained in our debt obligations through their maturity; however, if future operating results differ materially from our expectations we may be unable to maintain compliance.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assets consist primarily of investments in operating subsidiaries, and our ability to service our obligations, including Kronos’ Senior Secured Notes and the Contran Term Loan, depends in part upon the distribution of earnings of our subsidiaries, whether in the form of dividends, advances or payments on account of intercompany obligations or otherwise. Kronos’ Senior Secured Notes are collateralized by, among other things, a first priority lien on (i) 100% of the common stock or other ownership interests of each existing and future direct domestic subsidiary of KII and the guarantors, and (ii) 65% of the voting common stock or other ownership interests and 100% of the non-voting common stock or other ownership interests of each non-U.S. subsidiary that is directly owned by KII or any guarantor. Kronos’ Global Revolver is collateralized by, among other things, a first priority lien on the borrower’s trade receivables and inventories. See Note 7 to our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Future Cash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Liquidity </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primary source of liquidity on an ongoing basis is our cash flows from operating activities and borrowings under various lines of credit and notes. We generally use these amounts to (i) fund capital expenditures, (ii) repay short-term indebtedness incurred primarily for working capital purposes and (iii) provide for the payment of dividends (including dividends paid to us by our subsidiaries) or treasury stock purchases. From time-to-time we will incur indebtedness, generally to (i) fund short-term working capital needs, (ii) refinance existing indebtedness, (iii) make investments in marketable and other securities (including the acquisition of securities issued by our subsidiaries and affiliates) or (iv) fund major capital expenditures or the acquisition of other assets outside the ordinary course of business. Occasionally we sell assets outside the ordinary course of business, and we generally use the proceeds to (i) repay existing indebtedness (including indebtedness which may have been collateralized by the assets sold), (ii) make investments in marketable and other securities, (iii) fund major capital expenditures or the acquisition of other assets outside the ordinary course of business or (iv) pay dividends.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routinely compare our liquidity requirements and alternative uses of capital against the estimated future cash flows we expect to receive from our subsidiaries, and the estimated sales value of those units. As a result of this process, we have in the past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443">
                <wp:simplePos x="0" y="0"/>
                <wp:positionH relativeFrom="page">
                  <wp:posOffset>0</wp:posOffset>
                </wp:positionH>
                <wp:positionV relativeFrom="line">
                  <wp:posOffset>635</wp:posOffset>
                </wp:positionV>
                <wp:extent cx="6480175" cy="175260"/>
                <wp:effectExtent l="0" t="0" r="0" b="0"/>
                <wp:wrapNone/>
                <wp:docPr id="442" name="Frame4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sought, and may in the future seek, to raise additional capital, refinance or restructure indebtedness, repurchase indebtedness in the market or otherwise, modify our dividend policies, consider the sale of our interests in our subsidiaries, affiliates, business units, marketable securities or other assets, or take a combination of these and other steps, to increase liquidity, reduce indebtedness and fund future activities. Such activities have in the past and may in the future involve related companies. We may also from time to time engage in preliminary discussions with existing or potential investors regarding the timing or terms of any such refinancing or other potential transaction. From time to time, we and our subsidiaries may enter into intercompany loans as a cash management tool. Such notes are structured as revolving demand notes and pay and receive interest on terms we believe are generally more favorable than current debt and investment market rates. The companies that borrow under these notes have sufficient liquidity to repay the notes. All of these notes and related interest expense and income are eliminated in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periodically evaluate acquisitions of interests in or combinations with companies (including our affiliates) that may or may not be engaged in businesses related to our current businesses. We intend to consider such acquisition activities in the future and, in connection with this activity, may consider issuing additional equity securities and increasing indebtedness. From time to time, we also evaluate the restructuring of ownership interests among our respective subsidiaries and related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upon our expectations of our operating performance, and the anticipated demands on our cash resources, we expect to have sufficient liquidity to meet our short-term (defined as the twelve-month period ending June 30, 2027) and long-term obligations (defined as the five-year period ending June 30, 2031). Kronos’ Global Revolver matures in July 2029, and at June 30, 2026 Kronos had total availability for borrowing of approximately $261 million less any amounts outstanding. The borrowing base is calculated at least quarterly, and the amount available for borrowing may change based on applicable period end balances. See Note 7 to our Condensed Consolidated Financial Statements. If actual developments differ from our expectations, our liquidity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2026, we had an aggregate of $231.6 million of restricted and unrestricted cash, cash equivalents and marketable securities, including $27.8 million held by our non-U.S. subsidiaries. A detail by entity is presented in the table below.</w:t>
      </w:r>
    </w:p>
    <w:tbl>
      <w:tblPr>
        <w:tblW w:w="8566" w:type="dxa"/>
        <w:jc w:val="left"/>
        <w:tblInd w:w="0" w:type="dxa"/>
        <w:tblLayout w:type="fixed"/>
        <w:tblCellMar>
          <w:top w:w="0" w:type="dxa"/>
          <w:left w:w="0" w:type="dxa"/>
          <w:bottom w:w="0" w:type="dxa"/>
          <w:right w:w="0" w:type="dxa"/>
        </w:tblCellMar>
      </w:tblPr>
      <w:tblGrid>
        <w:gridCol w:w="6046"/>
        <w:gridCol w:w="146"/>
        <w:gridCol w:w="211"/>
        <w:gridCol w:w="571"/>
        <w:gridCol w:w="346"/>
        <w:gridCol w:w="336"/>
        <w:gridCol w:w="910"/>
      </w:tblGrid>
      <w:tr>
        <w:trPr/>
        <w:tc>
          <w:tcPr>
            <w:tcW w:w="6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3839210" cy="175260"/>
                      <wp:effectExtent l="0" t="0" r="0" b="0"/>
                      <wp:wrapNone/>
                      <wp:docPr id="443" name="Frame443"/>
                      <a:graphic xmlns:a="http://schemas.openxmlformats.org/drawingml/2006/main">
                        <a:graphicData uri="http://schemas.microsoft.com/office/word/2010/wordprocessingShape">
                          <wps:wsp>
                            <wps:cNvSpPr txBox="1"/>
                            <wps:spPr>
                              <a:xfrm>
                                <a:off x="0" y="0"/>
                                <a:ext cx="3839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92710" cy="175260"/>
                      <wp:effectExtent l="0" t="0" r="0" b="0"/>
                      <wp:wrapNone/>
                      <wp:docPr id="444" name="Frame44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3985" cy="175260"/>
                      <wp:effectExtent l="0" t="0" r="0" b="0"/>
                      <wp:wrapNone/>
                      <wp:docPr id="445" name="Frame4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62585" cy="175260"/>
                      <wp:effectExtent l="0" t="0" r="0" b="0"/>
                      <wp:wrapNone/>
                      <wp:docPr id="446" name="Frame44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7"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3360" cy="175260"/>
                      <wp:effectExtent l="0" t="0" r="0" b="0"/>
                      <wp:wrapNone/>
                      <wp:docPr id="448" name="Frame448"/>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77850" cy="175260"/>
                      <wp:effectExtent l="0" t="0" r="0" b="0"/>
                      <wp:wrapNone/>
                      <wp:docPr id="449" name="Frame449"/>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b/>
                <w:sz w:val="20"/>
              </w:rPr>
              <w:t>Total</w:t>
            </w: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Held outside </w:t>
            </w:r>
          </w:p>
        </w:tc>
      </w:tr>
      <w:tr>
        <w:trPr/>
        <w:tc>
          <w:tcPr>
            <w:tcW w:w="60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1"/>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U.S.</w:t>
            </w:r>
          </w:p>
        </w:tc>
      </w:tr>
      <w:tr>
        <w:trPr/>
        <w:tc>
          <w:tcPr>
            <w:tcW w:w="8566"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0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74"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34.5</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27.8</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CompX</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52.4</w:t>
            </w:r>
          </w:p>
        </w:tc>
        <w:tc>
          <w:tcPr>
            <w:tcW w:w="346" w:type="dxa"/>
            <w:tcBorders/>
            <w:vAlign w:val="center"/>
          </w:tcPr>
          <w:p>
            <w:pPr>
              <w:pStyle w:val="TableContents"/>
              <w:bidi w:val="0"/>
              <w:spacing w:before="0" w:after="1"/>
              <w:ind w:left="0" w:right="0" w:hanging="0"/>
              <w:jc w:val="left"/>
              <w:rPr/>
            </w:pPr>
            <w:r>
              <w:rPr/>
              <w:t> </w:t>
            </w:r>
          </w:p>
        </w:tc>
        <w:tc>
          <w:tcPr>
            <w:tcW w:w="33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NLI exclusive of its subsidiaries</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58.0</w:t>
            </w:r>
          </w:p>
        </w:tc>
        <w:tc>
          <w:tcPr>
            <w:tcW w:w="346" w:type="dxa"/>
            <w:tcBorders/>
            <w:shd w:fill="CCEEFF" w:val="clear"/>
            <w:vAlign w:val="center"/>
          </w:tcPr>
          <w:p>
            <w:pPr>
              <w:pStyle w:val="TableContents"/>
              <w:bidi w:val="0"/>
              <w:spacing w:before="0" w:after="1"/>
              <w:ind w:left="0" w:right="0" w:hanging="0"/>
              <w:jc w:val="left"/>
              <w:rPr/>
            </w:pPr>
            <w:r>
              <w:rPr/>
              <w:t> </w:t>
            </w:r>
          </w:p>
        </w:tc>
        <w:tc>
          <w:tcPr>
            <w:tcW w:w="33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BMI</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46" w:type="dxa"/>
            <w:tcBorders/>
            <w:vAlign w:val="center"/>
          </w:tcPr>
          <w:p>
            <w:pPr>
              <w:pStyle w:val="TableContents"/>
              <w:bidi w:val="0"/>
              <w:spacing w:before="0" w:after="1"/>
              <w:ind w:left="0" w:right="0" w:hanging="0"/>
              <w:jc w:val="left"/>
              <w:rPr/>
            </w:pPr>
            <w:r>
              <w:rPr/>
              <w:t> </w:t>
            </w:r>
          </w:p>
        </w:tc>
        <w:tc>
          <w:tcPr>
            <w:tcW w:w="33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Tremont exclusive of its subsidiaries</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w:t>
            </w:r>
          </w:p>
        </w:tc>
        <w:tc>
          <w:tcPr>
            <w:tcW w:w="346" w:type="dxa"/>
            <w:tcBorders/>
            <w:shd w:fill="CCEEFF" w:val="clear"/>
            <w:vAlign w:val="center"/>
          </w:tcPr>
          <w:p>
            <w:pPr>
              <w:pStyle w:val="TableContents"/>
              <w:bidi w:val="0"/>
              <w:spacing w:before="0" w:after="1"/>
              <w:ind w:left="0" w:right="0" w:hanging="0"/>
              <w:jc w:val="left"/>
              <w:rPr/>
            </w:pPr>
            <w:r>
              <w:rPr/>
              <w:t> </w:t>
            </w:r>
          </w:p>
        </w:tc>
        <w:tc>
          <w:tcPr>
            <w:tcW w:w="33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LandWell</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64.8</w:t>
            </w:r>
          </w:p>
        </w:tc>
        <w:tc>
          <w:tcPr>
            <w:tcW w:w="346" w:type="dxa"/>
            <w:tcBorders/>
            <w:vAlign w:val="center"/>
          </w:tcPr>
          <w:p>
            <w:pPr>
              <w:pStyle w:val="TableContents"/>
              <w:bidi w:val="0"/>
              <w:spacing w:before="0" w:after="1"/>
              <w:ind w:left="0" w:right="0" w:hanging="0"/>
              <w:jc w:val="left"/>
              <w:rPr/>
            </w:pPr>
            <w:r>
              <w:rPr/>
              <w:t> </w:t>
            </w:r>
          </w:p>
        </w:tc>
        <w:tc>
          <w:tcPr>
            <w:tcW w:w="33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Valhi exclusive of its subsidiaries</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and cash equivalents, restricted cash and marketable securities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231.6</w:t>
            </w:r>
          </w:p>
        </w:tc>
        <w:tc>
          <w:tcPr>
            <w:tcW w:w="346" w:type="dxa"/>
            <w:tcBorders/>
            <w:vAlign w:val="center"/>
          </w:tcPr>
          <w:p>
            <w:pPr>
              <w:pStyle w:val="TableContents"/>
              <w:bidi w:val="0"/>
              <w:spacing w:before="0" w:after="1"/>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1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27.8</w:t>
            </w:r>
          </w:p>
        </w:tc>
      </w:tr>
    </w:tbl>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Capital Expenditures and Other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expect our aggregate capital expenditures for 2026 will be approximately $66 million as follows:</w:t>
      </w:r>
    </w:p>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million by our Chemicals Segment; and</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million by our Component Products Segment.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LandWell expects to spend approximately $20 million on land development costs during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Capital spending for 2026 is expected to be funded through cash generated from operations or borrowing under our existing credit facilities. Planned capital expenditures for the remainder of 2026 at Kronos and CompX will primarily be to maintain and improve our existing facilities and, as it relates to CompX, to meet expected customer demand and maintain technology infrastructure. It is possible we will delay planned capital projects based on market conditions including but not limited to expected demand and the general availability of materials, equipment and supplies necessary to complete such projects.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Repurchases of Common Stock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Kronos and CompX have programs to repurchase common stock from time to time as market conditions permit. These stock repurchase programs do not include specific price targets or timetables and may be suspended at any time. Depending on market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451">
                <wp:simplePos x="0" y="0"/>
                <wp:positionH relativeFrom="page">
                  <wp:posOffset>0</wp:posOffset>
                </wp:positionH>
                <wp:positionV relativeFrom="line">
                  <wp:posOffset>635</wp:posOffset>
                </wp:positionV>
                <wp:extent cx="6480175" cy="175260"/>
                <wp:effectExtent l="0" t="0" r="0" b="0"/>
                <wp:wrapNone/>
                <wp:docPr id="450" name="Frame4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conditions, these programs may be terminated prior to completion. Cash on hand will be used to acquire the shares, and repurchased shares will be added to treasury shares and cancelled.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2026, Valhi had approximately .3 million shares available to repurchase under authorizations made by our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Kronos’ board of directors previously authorized the repurchase of up to 2.0 million shares of its common stock in open market transactions, including block purchases, or in privately-negotiated transactions at unspecified prices and over an unspecified period of time. Kronos may repurchase its common stock from time to time as market conditions permit. At June 30, 2026, approximately 1.0 million shares were available for repurchase under these authorizations.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CompX’s board of directors previously authorized the repurchase of its Class A common stock in open market transactions, including block purchases, or in privately-negotiated transactions at unspecified prices and over an unspecified period of time. At June 30, 2026, approximately .5 million shares were available for repurchase under these authorizations.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Dividends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our operations are conducted primarily through subsidiaries and affiliates, our long-term ability to meet parent company level corporate obligations is largely dependent on the receipt of dividends or other distributions from our subsidiaries and affiliates. Kronos paid a regular dividend of $.05 per share in each quarter of 2025 for which we received $11.6 million. In February 2026 the Kronos board of directors approved a quarterly dividend of $.05 per share. If Kronos were to pay its $.05 per share dividend in each quarter of 2026 based on the 58.0 million shares we held of Kronos common stock at June 30, 2026, during 2026 we would receive aggregate regular dividends from Kronos of $11.6 million.  NLI paid a quarterly dividend of $.09 per share in 2025 for which we received $14.5 million. In August 2025 the NLI board of directors declared a special dividend of $.21 per share on its common stock. We received $8.5 million from this dividend, which is not expected to be recurring. In February 2026 the NLI board of directors approved a quarterly dividend of $.10 per share. If NLI were to pay its $.10 per share dividend in each quarter of 2026 based on the 40.4 million shares we held of NLI common stock at June 30, 2026, during 2026 we would receive aggregate quarterly dividends from NLI of $16.2 million.  BMI and LandWell pay cash dividends from time to time, but the timing and amount of such dividends are uncertain. In this regard, we received aggregate dividends from BMI and LandWell of $19.5 million in 2025 and $1.7 million thus far in 2026. All of our ownership interest in CompX is held through our ownership in NLI; as such we do not receive any dividends from CompX. Instead any dividend paid by CompX is paid to NLI.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have various credit agreements with unrelated third-party lenders which contain customary limitations on the payment of dividends; however, these restrictions in the past have not significantly impacted their ability to pay dividends.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in our Subsidiaries and Affiliates and Other Acquisitions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 the past, and may in the future, purchase the securities of our subsidiaries and affiliates or third parties in market or privately-negotiated transactions. We base our purchase decisions on a variety of factors, including an analysis of the optimal use of our capital, taking into account the market value of the securities and the relative value of expected returns on alternative investments. In connection with these activities, we may consider issuing additional equity securities or increasing our indebtedness. We may also evaluate the restructuring of ownership interests of our businesses among our subsidiaries and related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do not guarantee any indebtedness or other obligations of our subsidiaries or affiliates. Our subsidiaries are not required to pay us dividends. If one or more of our subsidiaries were unable to maintain its current level of dividends, either due to restrictions contained in a credit agreement or to satisfy its liabilities or otherwise, our ability to service our liabilities or to pay dividends on our common stock could be adversely impacted. If this were to occur, we might consider reducing or eliminating our dividends or selling interests in subsidiaries or other assets. If we were required to liquidate assets to generate funds to satisfy our liabilities, we might be required to sell at less than what we believe is the long-term value of such assets.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a $50 million revolving credit facility with a subsidiary of NLI secured with approximately 35.2 million shares of the common stock of Kronos held by NLI’s subsidiary as collateral. Outstanding borrowings under the credit facility, as amended, bear interest at the prime rate plus 1.875% per annum, payable quarterly, with all amounts due on December 31, 2030. The maximum principal amount which may be outstanding from time-to-time under the credit facility is limited to 50% of the value of the Kronos stock using the most recent closing price. The credit facility contains a number of covenants and restrictions which, among other things, restrict NLI’s subsidiary’s ability to incur additional debt, incur liens, and merge or consolidate with, or sell or transfer substantially all of NLI’s subsidiary’s assets to, another entity, and require NLI’s subsidiary to maintain a minimum specified level of consolidated net worth. Upon an event of default (as defined in the credit facility), Valhi will be entitled to terminate its commitment to make further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452">
                <wp:simplePos x="0" y="0"/>
                <wp:positionH relativeFrom="page">
                  <wp:posOffset>0</wp:posOffset>
                </wp:positionH>
                <wp:positionV relativeFrom="line">
                  <wp:posOffset>635</wp:posOffset>
                </wp:positionV>
                <wp:extent cx="6480175" cy="175260"/>
                <wp:effectExtent l="0" t="0" r="0" b="0"/>
                <wp:wrapNone/>
                <wp:docPr id="451" name="Frame4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loans to NLI’s subsidiary, declare the outstanding loans (with interest) immediately due and payable, and exercise its rights with respect to the collateral under the loan documents. Such collateral rights include, upon certain insolvency events with respect to NLI’s subsidiary or NLI, the right to purchase all of the Kronos common stock at a purchase price equal to the aggregate market value, less amounts owing to Valhi under the loan documents, and up to 50% of such purchase price may be paid by Valhi in the form of an unsecured promissory note bearing interest at the prime rate plus 2.75% per annum, payable quarterly, with all amounts due no later than five years from the date of purchase, with the remainder of such purchase price payable in cash at the date of purchase. We also eliminate any such intercompany borrowings in our Condensed Consolidated Financial Statements. There is $.5 million outstanding under this facility at June 30, 2026.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have an unsecured revolving demand promissory note with CompX which, as amended, provides for borrowings from CompX of up to $25 million. We eliminate these intercompany borrowings in our Condensed Consolidated Financial Statements. The facility, as amended, is due on demand, but in any event no earlier than December 31, 2027. We had gross borrowings of $7.6 million and gross repayments of $8.8 million during the first six months of 2026, and $6.8 million was outstanding at June 30, 2026. We could borrow $18.2 million under our current intercompany facility with CompX at June 30, 2026. CompX’s obligation to loan us money under this note is at CompX’s discretion.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in our contractual obligations since we filed our 2025 Annual Report and we refer you to that report for a complete description of these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certain commitments and contingencies, as more fully described in our 2025 Annual Report, or in Notes 13 and 16 to our Condensed Consolidated Financial Statements and in Part II, Item 1 of this Quarterly Report, including:</w:t>
      </w:r>
    </w:p>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income tax contingencies in various U.S. and non-U.S. jurisdictions;</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environmental remediation matters involving NLI and BMI;</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litigation related to NLI’s former involvement in the manufacture of lead pigment and lead-based paint; and</w:t>
            </w:r>
          </w:p>
        </w:tc>
      </w:tr>
    </w:tbl>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other litigation to which we are a party.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such legal proceedings, various legislation and administrative regulations have, from time to time, been proposed that seek to (i) impose various obligations on present and former manufacturers of lead pigment and lead-based paint (including NLI) with respect to asserted health concerns associated with the use of such products and (ii) effectively overturn court decisions in which NLI and other pigment manufacturers have been successful. Examples of such proposed legislation include bills which would permit civil liability for damages on the basis of market share, rather than requiring plaintiffs to prove that the defendant’s product caused the alleged damage, and bills which would revive actions barred by the statute of limitations. While no legislation or regulations have been enacted to date that are expected to have a material adverse effect on our consolidated financial position, results of operations or liquidity, enactment of such legislation could have such an effect.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Note 19 to our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discussion of our critical accounting policies and estimates, refer to Part I, Item 7 - “Management’s Discussion and Analysis of Financial Condition and Results of Operations” in our 2025 Annual Report. There have been no changes in our critical accounting policies or estimates during the first six months of 2026.</w:t>
      </w:r>
    </w:p>
    <w:p>
      <w:pPr>
        <w:pStyle w:val="Normal"/>
        <w:bidi w:val="0"/>
        <w:spacing w:before="0" w:after="0"/>
        <w:jc w:val="left"/>
        <w:rPr>
          <w:sz w:val="4"/>
          <w:szCs w:val="4"/>
        </w:rPr>
      </w:pPr>
      <w:r>
        <w:rPr>
          <w:sz w:val="4"/>
          <w:szCs w:val="4"/>
        </w:rPr>
      </w:r>
      <w:bookmarkStart w:id="1464" w:name="ITEM3QUANTITATIVEANDQUALITATIVEDISCLOSUR"/>
      <w:bookmarkStart w:id="1465" w:name="_4de60244_999b_4f00_b307_f315e3979d9b"/>
      <w:bookmarkStart w:id="1466" w:name="ITEM3QUANTITATIVEANDQUALITATIVEDISCLOSUR"/>
      <w:bookmarkStart w:id="1467" w:name="_4de60244_999b_4f00_b307_f315e3979d9b"/>
      <w:bookmarkEnd w:id="1466"/>
      <w:bookmarkEnd w:id="1467"/>
    </w:p>
    <w:tbl>
      <w:tblPr>
        <w:tblW w:w="7937" w:type="dxa"/>
        <w:jc w:val="left"/>
        <w:tblInd w:w="0" w:type="dxa"/>
        <w:tblLayout w:type="fixed"/>
        <w:tblCellMar>
          <w:top w:w="0" w:type="dxa"/>
          <w:left w:w="0" w:type="dxa"/>
          <w:bottom w:w="0" w:type="dxa"/>
          <w:right w:w="0" w:type="dxa"/>
        </w:tblCellMar>
      </w:tblPr>
      <w:tblGrid>
        <w:gridCol w:w="841"/>
        <w:gridCol w:w="709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3.</w:t>
            </w:r>
          </w:p>
        </w:tc>
        <w:tc>
          <w:tcPr>
            <w:tcW w:w="70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market risk, including currency exchange rates, interest rates, equity security prices, and raw material prices. There have been no material changes in these market risks since we filed our 2025 Annual Report, and refer you to Part I, Item 7A. – “Quantitative and Qualitative Disclosure About Market Risk” in our 2025 Annual Report.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453">
                <wp:simplePos x="0" y="0"/>
                <wp:positionH relativeFrom="page">
                  <wp:posOffset>0</wp:posOffset>
                </wp:positionH>
                <wp:positionV relativeFrom="line">
                  <wp:posOffset>635</wp:posOffset>
                </wp:positionV>
                <wp:extent cx="6480175" cy="175260"/>
                <wp:effectExtent l="0" t="0" r="0" b="0"/>
                <wp:wrapNone/>
                <wp:docPr id="452" name="Frame4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Normal"/>
        <w:bidi w:val="0"/>
        <w:spacing w:before="0" w:after="0"/>
        <w:jc w:val="left"/>
        <w:rPr>
          <w:sz w:val="4"/>
          <w:szCs w:val="4"/>
        </w:rPr>
      </w:pPr>
      <w:r>
        <w:rPr>
          <w:sz w:val="4"/>
          <w:szCs w:val="4"/>
        </w:rPr>
      </w:r>
      <w:bookmarkStart w:id="1468" w:name="_38cdf75d_60ad_4cde_8f77_7ed04688d7de"/>
      <w:bookmarkStart w:id="1469" w:name="ITEM4CONTROLSANDPROCEDURES"/>
      <w:bookmarkStart w:id="1470" w:name="_38cdf75d_60ad_4cde_8f77_7ed04688d7de"/>
      <w:bookmarkStart w:id="1471" w:name="ITEM4CONTROLSANDPROCEDURES"/>
      <w:bookmarkEnd w:id="1470"/>
      <w:bookmarkEnd w:id="1471"/>
    </w:p>
    <w:tbl>
      <w:tblPr>
        <w:tblW w:w="3887" w:type="dxa"/>
        <w:jc w:val="left"/>
        <w:tblInd w:w="0" w:type="dxa"/>
        <w:tblLayout w:type="fixed"/>
        <w:tblCellMar>
          <w:top w:w="0" w:type="dxa"/>
          <w:left w:w="0" w:type="dxa"/>
          <w:bottom w:w="0" w:type="dxa"/>
          <w:right w:w="0" w:type="dxa"/>
        </w:tblCellMar>
      </w:tblPr>
      <w:tblGrid>
        <w:gridCol w:w="841"/>
        <w:gridCol w:w="304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4.</w:t>
            </w:r>
          </w:p>
        </w:tc>
        <w:tc>
          <w:tcPr>
            <w:tcW w:w="30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disclosure controls and procedures which, as defined in Exchange Act Rule 13a-15(e), means controls and other procedures that are designed to ensure that information required to be disclosed in the reports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Each of Michael S. Simmons, our Vice Chairman of the Board, President and Chief Executive Officer, and Amy Allbach Samford, our Executive Vice President and Chief Financial Officer, have evaluated the design and effectiveness of our disclosure controls and procedures as of June 30, 2026. Based upon their evaluation, these executive officers have concluded that our disclosure controls and procedures were effective as of the date of such evaluation.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which, as defined by Exchange Act Rule 13a-15(f) means a process designed by, or under the supervision of, our principal executive and principal financial officers, or persons performing similar functions,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GAAP, and that receipts and expenditures are being made only in accordance with authorizations of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an unauthorized acquisition, use or disposition of assets that could have a material effect on our Condensed Consolidated Financial Statements.</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has been no change to our internal control over financial reporting during the quarter ended June 30, 2026 that has materially affected, or is reasonably likely to materially affect, our internal control over financial reporting.</w:t>
      </w:r>
    </w:p>
    <w:p>
      <w:pPr>
        <w:pStyle w:val="TextBody"/>
        <w:bidi w:val="0"/>
        <w:spacing w:before="0" w:after="240"/>
        <w:ind w:left="0" w:right="0" w:hanging="0"/>
        <w:jc w:val="center"/>
        <w:rPr>
          <w:rFonts w:ascii="Times New Roman;Times;serif" w:hAnsi="Times New Roman;Times;serif"/>
          <w:b/>
          <w:sz w:val="20"/>
        </w:rPr>
      </w:pPr>
      <w:bookmarkStart w:id="1472" w:name="PARTIIOTHERINFORMATION"/>
      <w:bookmarkStart w:id="1473" w:name="_05d89106_ee53_4d03_bc7d_2d98af5c7f1d"/>
      <w:bookmarkEnd w:id="1472"/>
      <w:bookmarkEnd w:id="1473"/>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474" w:name="ITEM1LEGALPROCEEDINGS"/>
      <w:bookmarkEnd w:id="1474"/>
      <w:r>
        <w:rPr>
          <w:rFonts w:ascii="Times New Roman;Times;serif" w:hAnsi="Times New Roman;Times;serif"/>
          <w:b/>
          <w:sz w:val="20"/>
        </w:rPr>
        <w:t>ITEM 1. Legal Proceedings.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to the matters discussed below, refer to Note 16 to our Condensed Consolidated Financial Statements, our March 31, 2026 Quarterly Report on Form 10-Q and our 2025 Annual Report for descriptions of certain legal proceedings.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California Department of Toxic Substances v. NL Industries, Inc.</w:t>
      </w:r>
      <w:r>
        <w:rPr>
          <w:rFonts w:ascii="Times New Roman;Times;serif" w:hAnsi="Times New Roman;Times;serif"/>
          <w:sz w:val="20"/>
        </w:rPr>
        <w:t>  In July 2026, the trial court set the amount of past costs recoverable under CERCLA at $27.5 million but did not allocate that amount among the defendants.  NLI has denied liability and will continue to defend vigorously against all claims.</w:t>
      </w:r>
    </w:p>
    <w:p>
      <w:pPr>
        <w:pStyle w:val="TextBody"/>
        <w:bidi w:val="0"/>
        <w:spacing w:before="0" w:after="240"/>
        <w:ind w:left="0" w:right="0" w:hanging="0"/>
        <w:jc w:val="left"/>
        <w:rPr>
          <w:rFonts w:ascii="Times New Roman;Times;serif" w:hAnsi="Times New Roman;Times;serif"/>
          <w:b/>
          <w:sz w:val="20"/>
        </w:rPr>
      </w:pPr>
      <w:bookmarkStart w:id="1475" w:name="ITEM1ARISKFACTORS"/>
      <w:bookmarkStart w:id="1476" w:name="_5dd863ed_8e33_443c_b257_d67ac09f8562"/>
      <w:bookmarkEnd w:id="1475"/>
      <w:bookmarkEnd w:id="1476"/>
      <w:r>
        <w:rPr>
          <w:rFonts w:ascii="Times New Roman;Times;serif" w:hAnsi="Times New Roman;Times;serif"/>
          <w:b/>
          <w:sz w:val="20"/>
        </w:rPr>
        <w:t>ITEM 1A.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discussion of the risk factors related to our businesses, please refer to Part I, Item 1A, “Risk Factors,” in our 2025 Annual Report.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454">
                <wp:simplePos x="0" y="0"/>
                <wp:positionH relativeFrom="page">
                  <wp:posOffset>0</wp:posOffset>
                </wp:positionH>
                <wp:positionV relativeFrom="line">
                  <wp:posOffset>635</wp:posOffset>
                </wp:positionV>
                <wp:extent cx="6480175" cy="175260"/>
                <wp:effectExtent l="0" t="0" r="0" b="0"/>
                <wp:wrapNone/>
                <wp:docPr id="453" name="Frame4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bookmarkStart w:id="1477" w:name="ITEM6EXHIBITS"/>
      <w:bookmarkStart w:id="1478" w:name="_ac2137d3_f41a_4969_b36b_3214517d2dac"/>
      <w:bookmarkEnd w:id="1477"/>
      <w:bookmarkEnd w:id="1478"/>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57"/>
        <w:gridCol w:w="346"/>
        <w:gridCol w:w="9002"/>
      </w:tblGrid>
      <w:tr>
        <w:trPr/>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544195" cy="175260"/>
                      <wp:effectExtent l="0" t="0" r="0" b="0"/>
                      <wp:wrapNone/>
                      <wp:docPr id="454" name="Frame454"/>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5716270" cy="175260"/>
                      <wp:effectExtent l="0" t="0" r="0" b="0"/>
                      <wp:wrapNone/>
                      <wp:docPr id="455" name="Frame455"/>
                      <a:graphic xmlns:a="http://schemas.openxmlformats.org/drawingml/2006/main">
                        <a:graphicData uri="http://schemas.microsoft.com/office/word/2010/wordprocessingShape">
                          <wps:wsp>
                            <wps:cNvSpPr txBox="1"/>
                            <wps:spPr>
                              <a:xfrm>
                                <a:off x="0" y="0"/>
                                <a:ext cx="5716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5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No.</w:t>
            </w:r>
          </w:p>
        </w:tc>
        <w:tc>
          <w:tcPr>
            <w:tcW w:w="346" w:type="dxa"/>
            <w:tcBorders/>
            <w:vAlign w:val="center"/>
          </w:tcPr>
          <w:p>
            <w:pPr>
              <w:pStyle w:val="TableContents"/>
              <w:bidi w:val="0"/>
              <w:spacing w:before="0" w:after="0"/>
              <w:ind w:left="0" w:right="0" w:hanging="0"/>
              <w:jc w:val="left"/>
              <w:rPr/>
            </w:pPr>
            <w:r>
              <w:rPr/>
              <w:t>  ​ ​ ​</w:t>
            </w:r>
          </w:p>
        </w:tc>
        <w:tc>
          <w:tcPr>
            <w:tcW w:w="900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Index</w:t>
            </w:r>
          </w:p>
        </w:tc>
      </w:tr>
      <w:tr>
        <w:trPr/>
        <w:tc>
          <w:tcPr>
            <w:tcW w:w="8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pPr>
            <w:r>
              <w:rPr/>
              <w:t>​</w:t>
            </w:r>
          </w:p>
        </w:tc>
      </w:tr>
      <w:tr>
        <w:trPr/>
        <w:tc>
          <w:tcPr>
            <w:tcW w:w="8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pPr>
            <w:hyperlink w:anchor="vhl-20260630xex31d1.htm">
              <w:r>
                <w:rPr>
                  <w:rStyle w:val="InternetLink"/>
                  <w:rFonts w:ascii="Times New Roman;Times;serif" w:hAnsi="Times New Roman;Times;serif"/>
                  <w:b w:val="false"/>
                  <w:i w:val="false"/>
                  <w:caps w:val="false"/>
                  <w:smallCaps w:val="false"/>
                  <w:sz w:val="20"/>
                </w:rPr>
                <w:t>Certification</w:t>
              </w:r>
            </w:hyperlink>
          </w:p>
        </w:tc>
      </w:tr>
      <w:tr>
        <w:trPr/>
        <w:tc>
          <w:tcPr>
            <w:tcW w:w="8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pPr>
            <w:r>
              <w:rPr/>
              <w:t>​</w:t>
            </w:r>
          </w:p>
        </w:tc>
      </w:tr>
      <w:tr>
        <w:trPr/>
        <w:tc>
          <w:tcPr>
            <w:tcW w:w="8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pPr>
            <w:hyperlink w:anchor="vhl-20260630xex31d2.htm">
              <w:r>
                <w:rPr>
                  <w:rStyle w:val="InternetLink"/>
                  <w:rFonts w:ascii="Times New Roman;Times;serif" w:hAnsi="Times New Roman;Times;serif"/>
                  <w:b w:val="false"/>
                  <w:i w:val="false"/>
                  <w:caps w:val="false"/>
                  <w:smallCaps w:val="false"/>
                  <w:sz w:val="20"/>
                </w:rPr>
                <w:t>Certification</w:t>
              </w:r>
            </w:hyperlink>
          </w:p>
        </w:tc>
      </w:tr>
      <w:tr>
        <w:trPr/>
        <w:tc>
          <w:tcPr>
            <w:tcW w:w="8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pPr>
            <w:r>
              <w:rPr/>
              <w:t>​</w:t>
            </w:r>
          </w:p>
        </w:tc>
      </w:tr>
      <w:tr>
        <w:trPr/>
        <w:tc>
          <w:tcPr>
            <w:tcW w:w="8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pPr>
            <w:hyperlink w:anchor="vhl-20260630xex32d1.htm">
              <w:r>
                <w:rPr>
                  <w:rStyle w:val="InternetLink"/>
                  <w:rFonts w:ascii="Times New Roman;Times;serif" w:hAnsi="Times New Roman;Times;serif"/>
                  <w:b w:val="false"/>
                  <w:i w:val="false"/>
                  <w:caps w:val="false"/>
                  <w:smallCaps w:val="false"/>
                  <w:sz w:val="20"/>
                </w:rPr>
                <w:t>Certification</w:t>
              </w:r>
            </w:hyperlink>
          </w:p>
        </w:tc>
      </w:tr>
      <w:tr>
        <w:trPr/>
        <w:tc>
          <w:tcPr>
            <w:tcW w:w="8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pPr>
            <w:r>
              <w:rPr/>
              <w:t>​</w:t>
            </w:r>
          </w:p>
        </w:tc>
      </w:tr>
      <w:tr>
        <w:trPr/>
        <w:tc>
          <w:tcPr>
            <w:tcW w:w="8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8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pPr>
            <w:r>
              <w:rPr/>
              <w:t>​</w:t>
            </w:r>
          </w:p>
        </w:tc>
      </w:tr>
      <w:tr>
        <w:trPr/>
        <w:tc>
          <w:tcPr>
            <w:tcW w:w="8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w:t>
            </w:r>
          </w:p>
        </w:tc>
      </w:tr>
      <w:tr>
        <w:trPr/>
        <w:tc>
          <w:tcPr>
            <w:tcW w:w="8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pPr>
            <w:r>
              <w:rPr/>
              <w:t>​</w:t>
            </w:r>
          </w:p>
        </w:tc>
      </w:tr>
      <w:tr>
        <w:trPr/>
        <w:tc>
          <w:tcPr>
            <w:tcW w:w="8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8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pPr>
            <w:r>
              <w:rPr/>
              <w:t>​</w:t>
            </w:r>
          </w:p>
        </w:tc>
      </w:tr>
      <w:tr>
        <w:trPr/>
        <w:tc>
          <w:tcPr>
            <w:tcW w:w="8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8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pPr>
            <w:r>
              <w:rPr/>
              <w:t>​</w:t>
            </w:r>
          </w:p>
        </w:tc>
      </w:tr>
      <w:tr>
        <w:trPr/>
        <w:tc>
          <w:tcPr>
            <w:tcW w:w="8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8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pPr>
            <w:r>
              <w:rPr/>
              <w:t>​</w:t>
            </w:r>
          </w:p>
        </w:tc>
      </w:tr>
      <w:tr>
        <w:trPr/>
        <w:tc>
          <w:tcPr>
            <w:tcW w:w="8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8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pPr>
            <w:r>
              <w:rPr/>
              <w:t>​</w:t>
            </w:r>
          </w:p>
        </w:tc>
      </w:tr>
      <w:tr>
        <w:trPr/>
        <w:tc>
          <w:tcPr>
            <w:tcW w:w="8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457">
                <wp:simplePos x="0" y="0"/>
                <wp:positionH relativeFrom="page">
                  <wp:posOffset>0</wp:posOffset>
                </wp:positionH>
                <wp:positionV relativeFrom="line">
                  <wp:posOffset>635</wp:posOffset>
                </wp:positionV>
                <wp:extent cx="6480175" cy="175260"/>
                <wp:effectExtent l="0" t="0" r="0" b="0"/>
                <wp:wrapNone/>
                <wp:docPr id="456" name="Frame4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479" w:name="_97c0aef8_92e5_407b_8163_bd2b38d12ec2"/>
      <w:bookmarkEnd w:id="1479"/>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814" w:type="dxa"/>
        <w:jc w:val="left"/>
        <w:tblInd w:w="0" w:type="dxa"/>
        <w:tblLayout w:type="fixed"/>
        <w:tblCellMar>
          <w:top w:w="0" w:type="dxa"/>
          <w:left w:w="0" w:type="dxa"/>
          <w:bottom w:w="0" w:type="dxa"/>
          <w:right w:w="0" w:type="dxa"/>
        </w:tblCellMar>
      </w:tblPr>
      <w:tblGrid>
        <w:gridCol w:w="556"/>
        <w:gridCol w:w="1351"/>
        <w:gridCol w:w="346"/>
        <w:gridCol w:w="456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353060" cy="175260"/>
                      <wp:effectExtent l="0" t="0" r="0" b="0"/>
                      <wp:wrapNone/>
                      <wp:docPr id="457" name="Frame457"/>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857885" cy="175260"/>
                      <wp:effectExtent l="0" t="0" r="0" b="0"/>
                      <wp:wrapNone/>
                      <wp:docPr id="458" name="Frame458"/>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9"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896235" cy="175260"/>
                      <wp:effectExtent l="0" t="0" r="0" b="0"/>
                      <wp:wrapNone/>
                      <wp:docPr id="460" name="Frame460"/>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  ​ ​ ​</w:t>
            </w:r>
          </w:p>
        </w:tc>
        <w:tc>
          <w:tcPr>
            <w:tcW w:w="45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VALHI, INC.</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Allbach Samford</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Allbach Samford</w:t>
              <w:br/>
              <w:t>(Executive Vice President and Chief Financial Officer)</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Edward R. Moore</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 R. Moore</w:t>
              <w:br/>
              <w:t>(Vice President and Controller)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0"/>
        <w:ind w:left="0" w:right="0" w:hanging="0"/>
        <w:jc w:val="right"/>
        <w:rPr>
          <w:rFonts w:ascii="Times New Roman;Times;serif" w:hAnsi="Times New Roman;Times;serif"/>
          <w:b/>
          <w:sz w:val="20"/>
        </w:rPr>
      </w:pPr>
      <w:bookmarkStart w:id="1480" w:name="vhl-20260630xex31d1.htm"/>
      <w:bookmarkStart w:id="1481" w:name="ksvhl20260630xex31d1"/>
      <w:bookmarkEnd w:id="1480"/>
      <w:bookmarkEnd w:id="1481"/>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pBdr/>
        <w:bidi w:val="0"/>
        <w:spacing w:before="0" w:after="200"/>
        <w:ind w:left="0" w:right="0" w:hanging="360"/>
        <w:jc w:val="both"/>
        <w:rPr>
          <w:rFonts w:ascii="Times New Roman;Times;serif" w:hAnsi="Times New Roman;Times;serif"/>
          <w:sz w:val="20"/>
        </w:rPr>
      </w:pPr>
      <w:r>
        <w:rPr>
          <w:rFonts w:ascii="Times New Roman;Times;serif" w:hAnsi="Times New Roman;Times;serif"/>
          <w:sz w:val="20"/>
        </w:rPr>
        <w:t>I, Michael S. Simmons, certify that:</w:t>
      </w:r>
    </w:p>
    <w:tbl>
      <w:tblPr>
        <w:tblW w:w="5560" w:type="dxa"/>
        <w:jc w:val="left"/>
        <w:tblInd w:w="0" w:type="dxa"/>
        <w:tblLayout w:type="fixed"/>
        <w:tblCellMar>
          <w:top w:w="0" w:type="dxa"/>
          <w:left w:w="0" w:type="dxa"/>
          <w:bottom w:w="0" w:type="dxa"/>
          <w:right w:w="0" w:type="dxa"/>
        </w:tblCellMar>
      </w:tblPr>
      <w:tblGrid>
        <w:gridCol w:w="185"/>
        <w:gridCol w:w="5375"/>
      </w:tblGrid>
      <w:tr>
        <w:trPr/>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3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Valhi, Inc.;</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500" w:right="0" w:hanging="340"/>
        <w:jc w:val="both"/>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pBdr/>
        <w:bidi w:val="0"/>
        <w:spacing w:before="0" w:after="0"/>
        <w:ind w:left="500" w:right="0" w:hanging="340"/>
        <w:jc w:val="both"/>
        <w:rPr/>
      </w:pPr>
      <w:r>
        <w:rPr/>
        <w:t>​</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tc>
      </w:tr>
    </w:tbl>
    <w:p>
      <w:pPr>
        <w:pStyle w:val="TextBody"/>
        <w:pBdr/>
        <w:bidi w:val="0"/>
        <w:spacing w:before="0" w:after="0"/>
        <w:ind w:left="500" w:right="0" w:hanging="34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504" w:right="0" w:hanging="346"/>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690" w:type="dxa"/>
        <w:jc w:val="center"/>
        <w:tblInd w:w="0" w:type="dxa"/>
        <w:tblLayout w:type="fixed"/>
        <w:tblCellMar>
          <w:top w:w="0" w:type="dxa"/>
          <w:left w:w="0" w:type="dxa"/>
          <w:bottom w:w="0" w:type="dxa"/>
          <w:right w:w="0" w:type="dxa"/>
        </w:tblCellMar>
      </w:tblPr>
      <w:tblGrid>
        <w:gridCol w:w="5536"/>
        <w:gridCol w:w="154"/>
      </w:tblGrid>
      <w:tr>
        <w:trPr/>
        <w:tc>
          <w:tcPr>
            <w:tcW w:w="553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S. Simmons</w:t>
            </w:r>
          </w:p>
        </w:tc>
        <w:tc>
          <w:tcPr>
            <w:tcW w:w="154" w:type="dxa"/>
            <w:tcBorders/>
            <w:vAlign w:val="center"/>
          </w:tcPr>
          <w:p>
            <w:pPr>
              <w:pStyle w:val="TableContents"/>
              <w:bidi w:val="0"/>
              <w:spacing w:before="0" w:after="0"/>
              <w:ind w:left="0" w:right="0" w:hanging="0"/>
              <w:jc w:val="left"/>
              <w:rPr/>
            </w:pPr>
            <w:r>
              <w:rPr/>
              <w:t>​</w:t>
            </w:r>
          </w:p>
        </w:tc>
      </w:tr>
      <w:tr>
        <w:trPr/>
        <w:tc>
          <w:tcPr>
            <w:tcW w:w="55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S. Simmons</w:t>
            </w:r>
          </w:p>
        </w:tc>
        <w:tc>
          <w:tcPr>
            <w:tcW w:w="154" w:type="dxa"/>
            <w:tcBorders/>
            <w:vAlign w:val="center"/>
          </w:tcPr>
          <w:p>
            <w:pPr>
              <w:pStyle w:val="TableContents"/>
              <w:bidi w:val="0"/>
              <w:spacing w:before="0" w:after="0"/>
              <w:ind w:left="0" w:right="0" w:hanging="0"/>
              <w:jc w:val="lef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82" w:name="vhl-20260630xex31d2.htm"/>
      <w:bookmarkStart w:id="1483" w:name="ksvhl20260630xex31d2"/>
      <w:bookmarkEnd w:id="1482"/>
      <w:bookmarkEnd w:id="1483"/>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Amy A. Samford, certify that:</w:t>
      </w:r>
    </w:p>
    <w:p>
      <w:pPr>
        <w:pStyle w:val="TextBody"/>
        <w:bidi w:val="0"/>
        <w:spacing w:before="0" w:after="0"/>
        <w:ind w:left="0" w:right="0" w:hanging="0"/>
        <w:jc w:val="both"/>
        <w:rPr/>
      </w:pPr>
      <w:r>
        <w:rPr/>
        <w:t>​</w:t>
      </w:r>
    </w:p>
    <w:tbl>
      <w:tblPr>
        <w:tblW w:w="5560" w:type="dxa"/>
        <w:jc w:val="left"/>
        <w:tblInd w:w="0" w:type="dxa"/>
        <w:tblLayout w:type="fixed"/>
        <w:tblCellMar>
          <w:top w:w="0" w:type="dxa"/>
          <w:left w:w="0" w:type="dxa"/>
          <w:bottom w:w="0" w:type="dxa"/>
          <w:right w:w="0" w:type="dxa"/>
        </w:tblCellMar>
      </w:tblPr>
      <w:tblGrid>
        <w:gridCol w:w="185"/>
        <w:gridCol w:w="5375"/>
      </w:tblGrid>
      <w:tr>
        <w:trPr/>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3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Valhi, Inc.;</w:t>
            </w:r>
          </w:p>
        </w:tc>
      </w:tr>
    </w:tbl>
    <w:p>
      <w:pPr>
        <w:pStyle w:val="TextBody"/>
        <w:pBdr/>
        <w:bidi w:val="0"/>
        <w:spacing w:before="0" w:after="0"/>
        <w:ind w:left="40" w:right="0" w:hanging="425"/>
        <w:jc w:val="both"/>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500" w:right="0" w:hanging="340"/>
        <w:jc w:val="both"/>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pBdr/>
        <w:bidi w:val="0"/>
        <w:spacing w:before="0" w:after="0"/>
        <w:ind w:left="40" w:right="0" w:hanging="425"/>
        <w:jc w:val="both"/>
        <w:rPr/>
      </w:pPr>
      <w:r>
        <w:rPr/>
        <w:t>​</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tc>
      </w:tr>
    </w:tbl>
    <w:p>
      <w:pPr>
        <w:pStyle w:val="TextBody"/>
        <w:pBdr/>
        <w:bidi w:val="0"/>
        <w:spacing w:before="0" w:after="0"/>
        <w:ind w:left="500" w:right="0" w:hanging="34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504" w:right="0" w:hanging="346"/>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610" w:type="dxa"/>
        <w:jc w:val="center"/>
        <w:tblInd w:w="0" w:type="dxa"/>
        <w:tblLayout w:type="fixed"/>
        <w:tblCellMar>
          <w:top w:w="0" w:type="dxa"/>
          <w:left w:w="0" w:type="dxa"/>
          <w:bottom w:w="0" w:type="dxa"/>
          <w:right w:w="0" w:type="dxa"/>
        </w:tblCellMar>
      </w:tblPr>
      <w:tblGrid>
        <w:gridCol w:w="4456"/>
        <w:gridCol w:w="154"/>
      </w:tblGrid>
      <w:tr>
        <w:trPr/>
        <w:tc>
          <w:tcPr>
            <w:tcW w:w="44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/s/Amy A. Samford</w:t>
            </w:r>
          </w:p>
        </w:tc>
        <w:tc>
          <w:tcPr>
            <w:tcW w:w="154" w:type="dxa"/>
            <w:tcBorders/>
            <w:vAlign w:val="center"/>
          </w:tcPr>
          <w:p>
            <w:pPr>
              <w:pStyle w:val="TableContents"/>
              <w:bidi w:val="0"/>
              <w:spacing w:before="0" w:after="0"/>
              <w:ind w:left="0" w:right="0" w:hanging="0"/>
              <w:jc w:val="left"/>
              <w:rPr/>
            </w:pPr>
            <w:r>
              <w:rPr/>
              <w:t>​</w:t>
            </w:r>
          </w:p>
        </w:tc>
      </w:tr>
      <w:tr>
        <w:trPr/>
        <w:tc>
          <w:tcPr>
            <w:tcW w:w="44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Executive Vice President and Chief Financial Officer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84" w:name="vhl-20260630xex32d1.htm"/>
      <w:bookmarkStart w:id="1485" w:name="ksvhl20260630xex32d1"/>
      <w:bookmarkEnd w:id="1484"/>
      <w:bookmarkEnd w:id="1485"/>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Valhi, Inc. (the “Company”) on Form 10-Q for the quarter ended June 30, 2026 as filed with the Securities and Exchange Commission on the date hereof (the “Report”), we, Michael S. Simmons, Vice Chairman of the Board, President and Chief Executive Officer, and Amy A. Samford, Executive Vice President and Chief Financial Officer of the Company, certify, pursuant to 18 U.S.C. Section 1350, as adopted pursuant to Section 906 of the Sarbanes-Oxley Act of 2002, that:</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448" w:type="dxa"/>
        <w:jc w:val="left"/>
        <w:tblInd w:w="0" w:type="dxa"/>
        <w:tblLayout w:type="fixed"/>
        <w:tblCellMar>
          <w:top w:w="0" w:type="dxa"/>
          <w:left w:w="0" w:type="dxa"/>
          <w:bottom w:w="28" w:type="dxa"/>
          <w:right w:w="0" w:type="dxa"/>
        </w:tblCellMar>
      </w:tblPr>
      <w:tblGrid>
        <w:gridCol w:w="3616"/>
        <w:gridCol w:w="346"/>
        <w:gridCol w:w="4486"/>
      </w:tblGrid>
      <w:tr>
        <w:trPr/>
        <w:tc>
          <w:tcPr>
            <w:tcW w:w="361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S. Simmons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44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361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S. Simmons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Vice Chairman of the Board, President and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48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Executive Vice President and Chief Financial Officer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2026</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23386</Words>
  <Characters>126345</Characters>
  <CharactersWithSpaces>152624</CharactersWithSpaces>
  <Paragraphs>7567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